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3195F3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5AC19673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6D524D83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09748A50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56EACBF2" w14:textId="7777777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089ED530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506556D9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65A8C838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4FB5AEE4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803370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7E61AA2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03C8977F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41689F01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581F7E85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17160AE7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43ACEB60" w14:textId="155C1513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1.429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2024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</w:t>
            </w:r>
            <w:r w:rsidR="005B6E80">
              <w:rPr>
                <w:rFonts w:ascii="Arial" w:hAnsi="Arial"/>
                <w:color w:val="auto"/>
                <w:sz w:val="24"/>
              </w:rPr>
              <w:t xml:space="preserve">.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1/2015.</w:t>
            </w:r>
          </w:p>
          <w:p w14:paraId="5BCEA933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223DF5E0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>
              <w:rPr>
                <w:rFonts w:ascii="Arial" w:eastAsia="Arial" w:hAnsi="Arial"/>
                <w:b w:val="0"/>
                <w:color w:val="auto"/>
                <w:position w:val="-1"/>
                <w:sz w:val="24"/>
              </w:rPr>
              <w:t>THYAIRO DOS ANJOS FERREIRA</w:t>
            </w:r>
          </w:p>
          <w:p w14:paraId="3E0E5EE1" w14:textId="77777777" w:rsidR="006F6866" w:rsidRDefault="00000000">
            <w:pPr>
              <w:ind w:left="1701" w:right="-284" w:hanging="1"/>
              <w:jc w:val="left"/>
            </w:pPr>
            <w:r>
              <w:rPr>
                <w:rFonts w:eastAsia="Arial" w:cs="Arial"/>
                <w:position w:val="-1"/>
              </w:rPr>
              <w:t>Consultor de Orçamento e Fiscalização Financeira da Área Saúde, Trabalho, Previdência, Assistência Social e Família</w:t>
            </w:r>
          </w:p>
        </w:tc>
        <w:tc>
          <w:tcPr>
            <w:tcW w:w="682" w:type="dxa"/>
            <w:tcBorders>
              <w:top w:val="nil"/>
            </w:tcBorders>
          </w:tcPr>
          <w:p w14:paraId="485AA2AC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4B458C95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9642/2026</w:t>
      </w:r>
    </w:p>
    <w:p w14:paraId="462F08EB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5760294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B4DAE1F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E1DCA9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7F272FF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2B32A6E9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5303F5D3" w14:textId="357E4344" w:rsidR="0098485B" w:rsidRPr="0098485B" w:rsidRDefault="0098485B" w:rsidP="0098485B">
      <w:pPr>
        <w:pStyle w:val="CORPOPADRO"/>
      </w:pPr>
      <w:r w:rsidRPr="0098485B">
        <w:t>O Projeto de Lei n.º 1.429, de 2024, de autoria da Dep. ROGÉRIA SANTOS, institui programa gratuito de capacitação profissional destinado a donas de casa, assim consideradas as mulheres que nunca exerceram atividade remunerada ou que cessaram de exercê-la, e prevê incentivos à contratação dessas mulheres pelas empresas participantes, obrigações de natureza trabalhista a essas empresas e campanhas de conscientização a cargo do Poder Público. Em sua redação original, a proposição concede, ainda, deduções das bases de cálculo do Imposto de Renda da Pessoa Jurídica (IRPJ) e da Contribuição Social sobre o Lucro Líquido (CSLL) às empresas que contratem ou capacitem donas de casa, além de remeter a regulamento a concessão de outros incentivos fiscais.</w:t>
      </w:r>
    </w:p>
    <w:p w14:paraId="59FA87F4" w14:textId="77777777" w:rsidR="0098485B" w:rsidRPr="0098485B" w:rsidRDefault="0098485B" w:rsidP="0098485B">
      <w:pPr>
        <w:pStyle w:val="CORPOPADRO"/>
      </w:pPr>
      <w:r w:rsidRPr="0098485B">
        <w:t>O projeto tramita em regime ordinário (art. 151, III, do Regimento Interno da Câmara dos Deputados – RICD) e está sujeito à apreciação conclusiva pelas Comissões (art. 24, II, RICD), tendo sido distribuído às Comissões de Defesa dos Direitos da Mulher, de Trabalho (CTRAB), de Finanças e Tributação (CFT), para exame de mérito e de adequação orçamentária e financeira, e de Constituição e Justiça e de Cidadania (CCJC). Não há proposições apensadas. As Comissões de Defesa dos Direitos da Mulher e de Trabalho aprovaram pareceres favoráveis à proposição. Transcorrido o prazo regimental na CFT, não foram apresentadas emendas ao projeto.</w:t>
      </w:r>
    </w:p>
    <w:p w14:paraId="5139FF4D" w14:textId="1F909697" w:rsidR="00A41F80" w:rsidRDefault="0098485B" w:rsidP="0098485B">
      <w:pPr>
        <w:pStyle w:val="CORPOPADRO"/>
      </w:pPr>
      <w:r w:rsidRPr="0098485B">
        <w:t xml:space="preserve">A Relatora designada para esta </w:t>
      </w:r>
      <w:r>
        <w:t>CFT</w:t>
      </w:r>
      <w:r w:rsidRPr="0098485B">
        <w:t xml:space="preserve"> formalizou parecer pela não implicação da matéria em aumento ou diminuição da receita ou da despesa públicas, não cabendo pronunciamento quanto à adequação financeira e orçamentária, na forma de substitutivo que suprime as deduções de IRPJ e CSLL, e, no mérito, pela aprovação da proposição na forma do mesmo substitutivo.</w:t>
      </w:r>
    </w:p>
    <w:p w14:paraId="390411D4" w14:textId="77777777" w:rsidR="00A41F80" w:rsidRDefault="00A41F80" w:rsidP="00A41F80">
      <w:pPr>
        <w:pStyle w:val="TTULOITEM1"/>
      </w:pPr>
      <w:r>
        <w:t>2. análise</w:t>
      </w:r>
    </w:p>
    <w:p w14:paraId="131FD9F1" w14:textId="77777777" w:rsidR="0098485B" w:rsidRPr="0098485B" w:rsidRDefault="0098485B" w:rsidP="0098485B">
      <w:pPr>
        <w:pStyle w:val="CORPOPADRO"/>
      </w:pPr>
      <w:r w:rsidRPr="0098485B">
        <w:lastRenderedPageBreak/>
        <w:t>Em sua redação original, o Projeto de Lei n.º 1.429, de 2024, concede deduções das bases de cálculo do IRPJ e da CSLL, dispositivos que configuram renúncia de receita na acepção do art. 14 da LRF e do art. 113 do Ato das Disposições Constitucionais Transitórias (ADCT). O art. 14 da LRF exige que a proposição seja instruída com estimativa do impacto orçamentário e financeiro no exercício de início de vigência e nos dois seguintes, acompanhada de medidas de compensação ou da demonstração de que a renúncia foi considerada na estimativa de receita da lei orçamentária e não afetará as metas fiscais da lei de diretrizes orçamentárias. A Lei n.º 15.321, de 2025 (LDO 2026), acrescenta a exigência de cláusula de vigência limitada a cinco anos, de metas e objetivos preferencialmente quantitativos e de órgão gestor designado para o acompanhamento do benefício. A proposição, em sua redação original, não atende a esses requisitos, de modo que os dispositivos concessivos das deduções de IRPJ e CSLL seriam inadequados sob o aspecto orçamentário e financeiro.</w:t>
      </w:r>
    </w:p>
    <w:p w14:paraId="47F8AEF1" w14:textId="77777777" w:rsidR="0098485B" w:rsidRPr="0098485B" w:rsidRDefault="0098485B" w:rsidP="0098485B">
      <w:pPr>
        <w:pStyle w:val="CORPOPADRO"/>
      </w:pPr>
      <w:r w:rsidRPr="0098485B">
        <w:t>Os demais dispositivos, relativos ao programa de capacitação profissional, às obrigações atribuídas às empresas participantes e às campanhas de conscientização, têm caráter normativo-programático e não criam renúncia de receita nem despesa obrigatória de caráter continuado, na acepção do art. 17 da LRF. O impacto orçamentário e financeiro da proposição circunscreve-se, portanto, aos dispositivos que autorizam as deduções de IRPJ e CSLL.</w:t>
      </w:r>
    </w:p>
    <w:p w14:paraId="75400FAB" w14:textId="77777777" w:rsidR="0098485B" w:rsidRDefault="0098485B" w:rsidP="0098485B">
      <w:pPr>
        <w:pStyle w:val="CORPOPADRO"/>
      </w:pPr>
      <w:r w:rsidRPr="0098485B">
        <w:t xml:space="preserve">O substitutivo formalizado pela Relatora suprime as disposições concessivas das deduções de IRPJ e CSLL, preservando o programa de capacitação profissional, as obrigações atribuídas às empresas participantes e as campanhas de conscientização. Com a eliminação desses dispositivos, a proposição passa a contemplar matéria de caráter exclusivamente normativo-programático, sem repercussão direta ou indireta sobre a receita ou a despesa da União. </w:t>
      </w:r>
    </w:p>
    <w:p w14:paraId="2A5C3CD4" w14:textId="6BD8BFB9" w:rsidR="0098485B" w:rsidRPr="0098485B" w:rsidRDefault="0098485B" w:rsidP="0098485B">
      <w:pPr>
        <w:pStyle w:val="CORPOPADRO"/>
      </w:pPr>
      <w:r w:rsidRPr="0098485B">
        <w:t xml:space="preserve">Nesse caso, torna-se aplicável o art. 32, X, "h", do RICD, segundo o qual somente as proposições que importem aumento ou diminuição de receita ou de despesa pública se sujeitam ao exame de compatibilidade ou </w:t>
      </w:r>
      <w:r w:rsidRPr="0098485B">
        <w:lastRenderedPageBreak/>
        <w:t>adequação orçamentária e financeira. Em adição, o art. 9.º da NI/CFT determina que, quando a matéria não tiver implicação orçamentária e financeira, se conclua no voto final que à Comissão não cabe afirmar se a proposição é adequada ou não.</w:t>
      </w:r>
    </w:p>
    <w:p w14:paraId="6C2CB839" w14:textId="60C829A6" w:rsidR="00A41F80" w:rsidRDefault="0098485B" w:rsidP="0098485B">
      <w:pPr>
        <w:pStyle w:val="CORPOPADRO"/>
      </w:pPr>
      <w:r w:rsidRPr="0098485B">
        <w:t>Assim, na forma do substitutivo apresentado pela Relatora, a proposição não importa aumento ou diminuição de receita ou de despesa pública, não cabendo pronunciamento quanto à adequação financeira ou orçamentária.</w:t>
      </w:r>
    </w:p>
    <w:p w14:paraId="0AA4441E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5AD5EB78" w14:textId="352E43CB" w:rsidR="00A41F80" w:rsidRDefault="005D6F3E" w:rsidP="00A41F80">
      <w:pPr>
        <w:pStyle w:val="CORPOPADRO"/>
      </w:pPr>
      <w:r>
        <w:t>Não há.</w:t>
      </w:r>
    </w:p>
    <w:p w14:paraId="5BB739C0" w14:textId="77777777" w:rsidR="00A41F80" w:rsidRDefault="00A41F80" w:rsidP="00A41F80">
      <w:pPr>
        <w:pStyle w:val="TTULOITEM1"/>
      </w:pPr>
      <w:r>
        <w:t>4. resumo</w:t>
      </w:r>
    </w:p>
    <w:p w14:paraId="1F2F6ED1" w14:textId="0F27D578" w:rsidR="00A41F80" w:rsidRDefault="0098485B" w:rsidP="0098485B">
      <w:pPr>
        <w:pStyle w:val="CORPOPADRO"/>
      </w:pPr>
      <w:r w:rsidRPr="0098485B">
        <w:t>Conclui-se que o Projeto de Lei n.º 1.429, de 2024</w:t>
      </w:r>
      <w:r w:rsidR="005D6F3E">
        <w:t>,</w:t>
      </w:r>
      <w:r w:rsidRPr="0098485B">
        <w:t xml:space="preserve"> na forma do substitutivo apresentado pela Relatora</w:t>
      </w:r>
      <w:r w:rsidR="005D6F3E">
        <w:t xml:space="preserve">, </w:t>
      </w:r>
      <w:r w:rsidRPr="0098485B">
        <w:t>não acarreta impacto nas receitas ou despesas públicas da União, não cabendo pronunciamento quanto à adequação financeira e orçamentária.</w:t>
      </w:r>
    </w:p>
    <w:p w14:paraId="79BB0943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6 de julho de 2026.</w:t>
      </w:r>
    </w:p>
    <w:p w14:paraId="175F382B" w14:textId="77777777" w:rsidR="00A41F80" w:rsidRDefault="00A41F80" w:rsidP="00A41F80">
      <w:pPr>
        <w:pStyle w:val="ASSINATURA"/>
        <w:spacing w:after="0"/>
        <w:rPr>
          <w:caps/>
          <w:color w:val="000000" w:themeColor="text1"/>
        </w:rPr>
      </w:pPr>
      <w:r>
        <w:rPr>
          <w:caps/>
          <w:color w:val="000000"/>
          <w:position w:val="-1"/>
        </w:rPr>
        <w:t>THYAIRO DOS ANJOS FERREIRA</w:t>
      </w:r>
    </w:p>
    <w:p w14:paraId="3AFA8198" w14:textId="77777777" w:rsidR="006F6866" w:rsidRDefault="00000000">
      <w:pPr>
        <w:ind w:left="-1" w:right="-1" w:hanging="1"/>
        <w:jc w:val="center"/>
      </w:pPr>
      <w:r>
        <w:rPr>
          <w:caps/>
          <w:color w:val="000000"/>
          <w:position w:val="-1"/>
        </w:rPr>
        <w:t>Consultor de Orçamento e Fiscalização Financeira</w:t>
      </w:r>
    </w:p>
    <w:p w14:paraId="374A71FF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3E040BF1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4"/>
      <w:footerReference w:type="default" r:id="rId15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52CF4E" w14:textId="77777777" w:rsidR="00AE1C12" w:rsidRDefault="00AE1C12">
      <w:pPr>
        <w:spacing w:after="0"/>
      </w:pPr>
      <w:r>
        <w:separator/>
      </w:r>
    </w:p>
  </w:endnote>
  <w:endnote w:type="continuationSeparator" w:id="0">
    <w:p w14:paraId="777F8DF8" w14:textId="77777777" w:rsidR="00AE1C12" w:rsidRDefault="00AE1C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3875F2" w14:textId="77777777" w:rsidR="005D6F3E" w:rsidRDefault="005D6F3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D17D2D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819506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1B3ED076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791A4F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F17037" w14:textId="77777777" w:rsidR="00AE1C12" w:rsidRDefault="00AE1C12">
      <w:pPr>
        <w:spacing w:after="0"/>
      </w:pPr>
      <w:r>
        <w:separator/>
      </w:r>
    </w:p>
  </w:footnote>
  <w:footnote w:type="continuationSeparator" w:id="0">
    <w:p w14:paraId="0E5DEFC3" w14:textId="77777777" w:rsidR="00AE1C12" w:rsidRDefault="00AE1C1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5CED471" w14:textId="77777777" w:rsidR="009972A3" w:rsidRDefault="00AE1C12">
    <w:pPr>
      <w:pStyle w:val="Cabealho"/>
    </w:pPr>
    <w:r>
      <w:rPr>
        <w:noProof/>
        <w:lang w:eastAsia="pt-BR"/>
      </w:rPr>
      <w:pict w14:anchorId="32B14F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25" type="#_x0000_t75" alt="" style="position:absolute;left:0;text-align:left;margin-left:0;margin-top:0;width:615.05pt;height:870.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3AEACE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7D697B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4580F6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733167427">
    <w:abstractNumId w:val="6"/>
  </w:num>
  <w:num w:numId="2" w16cid:durableId="1907644943">
    <w:abstractNumId w:val="5"/>
  </w:num>
  <w:num w:numId="3" w16cid:durableId="1748532146">
    <w:abstractNumId w:val="1"/>
  </w:num>
  <w:num w:numId="4" w16cid:durableId="276375237">
    <w:abstractNumId w:val="3"/>
  </w:num>
  <w:num w:numId="5" w16cid:durableId="1530340334">
    <w:abstractNumId w:val="4"/>
  </w:num>
  <w:num w:numId="6" w16cid:durableId="1039165643">
    <w:abstractNumId w:val="4"/>
  </w:num>
  <w:num w:numId="7" w16cid:durableId="529805884">
    <w:abstractNumId w:val="4"/>
  </w:num>
  <w:num w:numId="8" w16cid:durableId="1649893656">
    <w:abstractNumId w:val="2"/>
  </w:num>
  <w:num w:numId="9" w16cid:durableId="1589345998">
    <w:abstractNumId w:val="0"/>
  </w:num>
  <w:num w:numId="10" w16cid:durableId="45494746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05DF3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0238A"/>
    <w:rsid w:val="004A7A08"/>
    <w:rsid w:val="004D3EB4"/>
    <w:rsid w:val="004E2717"/>
    <w:rsid w:val="00520B2A"/>
    <w:rsid w:val="00552094"/>
    <w:rsid w:val="005525B3"/>
    <w:rsid w:val="005712FA"/>
    <w:rsid w:val="005B6E80"/>
    <w:rsid w:val="005D6F3E"/>
    <w:rsid w:val="005F437A"/>
    <w:rsid w:val="00620754"/>
    <w:rsid w:val="00655E5C"/>
    <w:rsid w:val="00671D8E"/>
    <w:rsid w:val="006A7A82"/>
    <w:rsid w:val="006F6866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8485B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AC7D56"/>
    <w:rsid w:val="00AE1C12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C7122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F5433B9"/>
  <w15:docId w15:val="{EF179DA9-C7C5-48CE-AE3F-74B135AD1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paragraph" w:styleId="NormalWeb">
    <w:name w:val="Normal (Web)"/>
    <w:basedOn w:val="Normal"/>
    <w:uiPriority w:val="99"/>
    <w:semiHidden/>
    <w:unhideWhenUsed/>
    <w:rsid w:val="0098485B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5A918B-DE57-4A46-9D3C-7F0744AA0062}">
  <we:reference id="wa200010453" version="1.0.0.1" store="pt-BR" storeType="OMEX"/>
  <we:alternateReferences>
    <we:reference id="wa200010453" version="1.0.0.1" store="WA200010453" storeType="OMEX"/>
  </we:alternateReferences>
  <we:properties>
    <we:property name="claude.fileId" value="&quot;3b5967f1-4e31-46af-8563-7c538e76d79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810</Words>
  <Characters>4515</Characters>
  <Application>Microsoft Office Word</Application>
  <DocSecurity>0</DocSecurity>
  <Lines>110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 de Almeida Saback</dc:creator>
  <cp:lastModifiedBy>Thyairo A Ferreira</cp:lastModifiedBy>
  <cp:revision>9</cp:revision>
  <cp:lastPrinted>2024-10-07T17:41:00Z</cp:lastPrinted>
  <dcterms:created xsi:type="dcterms:W3CDTF">2024-10-24T15:31:00Z</dcterms:created>
  <dcterms:modified xsi:type="dcterms:W3CDTF">2026-07-06T14:08:00Z</dcterms:modified>
</cp:coreProperties>
</file>