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9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8"/>
        <w:rPr>
          <w:rFonts w:ascii="Arial"/>
          <w:b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6.80293pt;width:555pt;height:.1pt;mso-position-horizontal-relative:page;mso-position-vertical-relative:paragraph;z-index:-15728640;mso-wrap-distance-left:0;mso-wrap-distance-right:0" id="docshape1" coordorigin="400,136" coordsize="11100,0" path="m400,136l11500,136e" filled="false" stroked="true" strokeweight="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0195" w:val="left" w:leader="none"/>
        </w:tabs>
        <w:spacing w:before="45"/>
        <w:ind w:left="120" w:right="0" w:firstLine="0"/>
        <w:jc w:val="left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>
      <w:pPr>
        <w:tabs>
          <w:tab w:pos="993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Prates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(texto)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(UBS)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1/2024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Leo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Prates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(texto)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Básicas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(UBS)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50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ADIÇÃO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4" w:space="982"/>
            <w:col w:w="787" w:space="57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>
            <w:pPr>
              <w:pStyle w:val="TableParagraph"/>
              <w:ind w:left="6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--</w:t>
            </w:r>
            <w:r>
              <w:rPr>
                <w:spacing w:val="-12"/>
                <w:sz w:val="16"/>
              </w:rPr>
              <w:t>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7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6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6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6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7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6"/>
                <w:w w:val="110"/>
                <w:sz w:val="16"/>
              </w:rPr>
              <w:t> </w:t>
            </w:r>
            <w:r>
              <w:rPr>
                <w:spacing w:val="-10"/>
                <w:w w:val="110"/>
                <w:sz w:val="16"/>
              </w:rPr>
              <w:t>4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> </w:t>
      </w:r>
      <w:r>
        <w:rPr>
          <w:spacing w:val="-2"/>
          <w:w w:val="115"/>
          <w:sz w:val="16"/>
        </w:rPr>
        <w:t>PROPOSTO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850900"/>
                <wp:effectExtent l="9525" t="0" r="0" b="635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7048500" cy="850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8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Art.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4º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prioridades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exercício</w:t>
                            </w:r>
                          </w:p>
                          <w:p>
                            <w:pPr>
                              <w:pStyle w:val="BodyText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2025,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despesas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obrigatórias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funcionamento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órgãos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entidades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Orçamentos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Social,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consistem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constantes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Anexo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VII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e: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pos="127" w:val="left" w:leader="none"/>
                              </w:tabs>
                              <w:spacing w:line="240" w:lineRule="auto" w:before="0" w:after="0"/>
                              <w:ind w:left="30" w:right="158" w:firstLine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modernização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(UBS)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foco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insumos,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melhorias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 infraestrutura física;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pos="173" w:val="left" w:leader="none"/>
                              </w:tabs>
                              <w:spacing w:line="240" w:lineRule="auto" w:before="1" w:after="0"/>
                              <w:ind w:left="30" w:right="598" w:firstLine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- em caráter indicativo, naquelas constante na Lei do Plurianual 2024-2027, durante a elaboração, a aprovação e a execução do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orçamento.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6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8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Art.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4º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prioridades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metas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administração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pública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federal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exercício</w:t>
                      </w:r>
                    </w:p>
                    <w:p>
                      <w:pPr>
                        <w:pStyle w:val="BodyText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2025,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atendidas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despesas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obrigatórias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funcionamento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órgãos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entidades</w:t>
                      </w:r>
                    </w:p>
                    <w:p>
                      <w:pPr>
                        <w:pStyle w:val="BodyText"/>
                        <w:spacing w:before="1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Orçamentos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Seguridade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Social,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consistem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constantes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Anexo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VII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e: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pos="127" w:val="left" w:leader="none"/>
                        </w:tabs>
                        <w:spacing w:line="240" w:lineRule="auto" w:before="0" w:after="0"/>
                        <w:ind w:left="30" w:right="158" w:firstLine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modernização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Básicas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(UBS)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foco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insumos,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melhorias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 infraestrutura física;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pos="173" w:val="left" w:leader="none"/>
                        </w:tabs>
                        <w:spacing w:line="240" w:lineRule="auto" w:before="1" w:after="0"/>
                        <w:ind w:left="30" w:right="598" w:firstLine="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- em caráter indicativo, naquelas constante na Lei do Plurianual 2024-2027, durante a elaboração, a aprovação e a execução do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orçamento.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18"/>
        <w:ind w:left="14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254000</wp:posOffset>
                </wp:positionH>
                <wp:positionV relativeFrom="paragraph">
                  <wp:posOffset>152042</wp:posOffset>
                </wp:positionV>
                <wp:extent cx="7035800" cy="82550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principal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desempenha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organização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base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acompanhamento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contínuo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 população,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especialmente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vulneráveis.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(UBS)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 acesso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precoces,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prevenir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complicações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crônicas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melhorar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indicadores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pública.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infraestrutura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UBS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contribui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diretamente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regionais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resposta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municípios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demandas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locais, promovendo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resolutivo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eficiente.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971875pt;width:554pt;height:65pt;mso-position-horizontal-relative:page;mso-position-vertical-relative:paragraph;z-index:-15726080;mso-wrap-distance-left:0;mso-wrap-distance-right:0" type="#_x0000_t202" id="docshape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Básica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principal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porta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entrada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(SUS)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desempenha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organização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base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acompanhamento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contínuo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 população,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especialmente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áreas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vulneráveis.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fortalecimento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Básicas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(UBS)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 acesso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diagnósticos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precoces,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prevenir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complicações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crônicas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melhorar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indicadores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pública.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Investir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melhoria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infraestrutura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capacidade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UBS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contribui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diretamente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regionais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fortalecer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capacidade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resposta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municípios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demandas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locais, promovendo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resolutivo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eficiente.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2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3248" type="#_x0000_t202" id="docshape8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15:30:02h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2" w:space="274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30" w:hanging="98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spacing w:val="0"/>
        <w:w w:val="105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4" w:hanging="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8" w:hanging="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2" w:hanging="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6" w:hanging="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0" w:hanging="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8" w:hanging="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2024-12-02T18:53:56Z</dcterms:created>
  <dcterms:modified xsi:type="dcterms:W3CDTF">2024-12-02T18:53:56Z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