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981B7C">
        <w:tc>
          <w:tcPr>
            <w:tcW w:w="3448" w:type="dxa"/>
          </w:tcPr>
          <w:p w:rsidR="00981B7C" w:rsidRDefault="00CC24EE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CC24EE">
              <w:rPr>
                <w:rFonts w:asciiTheme="minorHAnsi" w:hAnsiTheme="minorHAnsi" w:cstheme="minorHAnsi"/>
              </w:rPr>
              <w:t>LEI Nº 11.947, DE 16 DE JUNHO DE 2009</w:t>
            </w:r>
          </w:p>
          <w:p w:rsidR="00CC24EE" w:rsidRDefault="00CC24EE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Art.24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CC24E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3257D">
                <w:rPr>
                  <w:rStyle w:val="Hyperlink"/>
                  <w:rFonts w:asciiTheme="minorHAnsi" w:hAnsiTheme="minorHAnsi" w:cstheme="minorHAnsi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E2F7D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1B7C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743EE"/>
    <w:rsid w:val="00CC12A5"/>
    <w:rsid w:val="00CC24EE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81B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6-16;119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2023-05-23T20:02:00Z</cp:lastPrinted>
  <dcterms:created xsi:type="dcterms:W3CDTF">2023-05-23T20:02:00Z</dcterms:created>
  <dcterms:modified xsi:type="dcterms:W3CDTF">2023-05-23T20:03:00Z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