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7D6624">
        <w:tc>
          <w:tcPr>
            <w:tcW w:w="3448" w:type="dxa"/>
          </w:tcPr>
          <w:p w:rsidR="007D6624" w:rsidRPr="007D6624" w:rsidRDefault="007D6624" w:rsidP="007D6624">
            <w:pPr>
              <w:pStyle w:val="Corpodetexto"/>
              <w:rPr>
                <w:rFonts w:asciiTheme="minorHAnsi" w:hAnsiTheme="minorHAnsi" w:cstheme="minorHAnsi"/>
              </w:rPr>
            </w:pPr>
            <w:r w:rsidRPr="007D6624">
              <w:rPr>
                <w:rFonts w:asciiTheme="minorHAnsi" w:hAnsiTheme="minorHAnsi" w:cstheme="minorHAnsi"/>
              </w:rPr>
              <w:t>LEI Nº 9.504, DE 30 DE SETEMBRO DE 1997</w:t>
            </w:r>
          </w:p>
          <w:p w:rsidR="00230DA4" w:rsidRDefault="007D662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59-A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7D662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E1F6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https://normas.leg.br/?urn=urn:lex:br:federal:lei:1997-09-30;9504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D6624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371D4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D66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30;950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2023-03-23T18:53:00Z</dcterms:created>
  <dcterms:modified xsi:type="dcterms:W3CDTF">2023-03-23T18:55:00Z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