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51BC8">
        <w:tc>
          <w:tcPr>
            <w:tcW w:w="3448" w:type="dxa"/>
          </w:tcPr>
          <w:p w:rsidR="00251BC8" w:rsidRDefault="00BC362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C3620">
              <w:rPr>
                <w:rFonts w:asciiTheme="minorHAnsi" w:hAnsiTheme="minorHAnsi" w:cstheme="minorHAnsi"/>
              </w:rPr>
              <w:t>LEI Nº 10.861, DE 14 DE ABRIL DE 2004</w:t>
            </w:r>
          </w:p>
          <w:p w:rsidR="00BC3620" w:rsidRDefault="00BC362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4º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BC362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https://normas.leg.br/?urn=urn:lex:br:federal:lei:2004-04-14;10861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51BC8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A16B3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BC3620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51B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4-04-14;108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2023-03-22T18:58:00Z</cp:lastPrinted>
  <dcterms:created xsi:type="dcterms:W3CDTF">2023-03-22T18:58:00Z</dcterms:created>
  <dcterms:modified xsi:type="dcterms:W3CDTF">2023-03-22T18:59:00Z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