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A34FCC">
        <w:tc>
          <w:tcPr>
            <w:tcW w:w="1951" w:type="dxa"/>
          </w:tcPr>
          <w:p w:rsidR="002D5CDF" w:rsidRDefault="005729D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5729D5">
              <w:rPr>
                <w:rFonts w:asciiTheme="minorHAnsi" w:hAnsiTheme="minorHAnsi" w:cstheme="minorHAnsi"/>
              </w:rPr>
              <w:t>LEI Nº 8.078, DE 11 DE SETEMBRO DE 1990</w:t>
            </w:r>
          </w:p>
          <w:p w:rsidR="005729D5" w:rsidRDefault="005729D5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Art.52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5729D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D2657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5CDF"/>
    <w:rsid w:val="002E2B77"/>
    <w:rsid w:val="0031015A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29D5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34FCC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4F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2023-03-20T20:58:00Z</cp:lastPrinted>
  <dcterms:created xsi:type="dcterms:W3CDTF">2023-03-20T20:58:00Z</dcterms:created>
  <dcterms:modified xsi:type="dcterms:W3CDTF">2023-03-20T20:59:00Z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