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AE67F2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AE67F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AE67F2">
              <w:rPr>
                <w:rFonts w:asciiTheme="minorHAnsi" w:hAnsiTheme="minorHAnsi" w:cstheme="minorHAnsi"/>
                <w:sz w:val="22"/>
                <w:szCs w:val="22"/>
              </w:rPr>
              <w:t>LEI Nº 13.022, DE 8 DE AGOSTO DE 2014</w:t>
            </w:r>
          </w:p>
          <w:p w:rsidR="00AE67F2" w:rsidRPr="00AE67F2" w:rsidRDefault="00AE67F2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Art.6</w:t>
            </w:r>
          </w:p>
        </w:tc>
        <w:tc>
          <w:tcPr>
            <w:tcW w:w="6574" w:type="dxa"/>
          </w:tcPr>
          <w:p w:rsidR="002B3512" w:rsidRPr="00AE67F2" w:rsidRDefault="00AE67F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C7717B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https://www2.camara.leg.br/legin/fed/lei/2014/lei-13022-8-agosto-2014-779152-norma-pl.html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AE67F2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AE67F2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E67F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67F2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B13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2014/lei-13022-8-agosto-2014-779152-norma-pl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F05E4-AAEB-4602-A2EA-DD2AFD26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279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2023-03-13T15:22:00Z</dcterms:created>
  <dcterms:modified xsi:type="dcterms:W3CDTF">2023-03-13T15:23:00Z</dcterms:modified>
</cp:coreProperties>
</file>