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E0AD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0AD5">
              <w:rPr>
                <w:rFonts w:asciiTheme="minorHAnsi" w:hAnsiTheme="minorHAnsi" w:cstheme="minorHAnsi"/>
                <w:sz w:val="22"/>
                <w:szCs w:val="22"/>
              </w:rPr>
              <w:t>DECRETO Nº 11.407, DE 31 DE JANEIRO DE 2023</w:t>
            </w:r>
          </w:p>
        </w:tc>
        <w:tc>
          <w:tcPr>
            <w:tcW w:w="6043" w:type="dxa"/>
          </w:tcPr>
          <w:p w:rsidR="002B3512" w:rsidRPr="002B3512" w:rsidRDefault="00DE0AD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82B2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https://www2.camara.leg.br/legin/fed/decret/2023/decreto-11407-31-janeiro-2023-793746-norma-pe.html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E0AD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E1BCC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0AD5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407-31-janeiro-2023-793746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15CEA-ED01-4A79-93E5-25E55BC5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2023-03-01T13:17:00Z</dcterms:created>
  <dcterms:modified xsi:type="dcterms:W3CDTF">2023-03-01T13:18:00Z</dcterms:modified>
</cp:coreProperties>
</file>