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94F8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4F8C">
              <w:rPr>
                <w:rFonts w:asciiTheme="minorHAnsi" w:hAnsiTheme="minorHAnsi" w:cstheme="minorHAnsi"/>
                <w:sz w:val="22"/>
                <w:szCs w:val="22"/>
              </w:rPr>
              <w:t>LEI COMPLEMENTAR Nº 179, DE 24 DE FEVEREIRO DE 2021</w:t>
            </w:r>
          </w:p>
        </w:tc>
        <w:tc>
          <w:tcPr>
            <w:tcW w:w="6043" w:type="dxa"/>
          </w:tcPr>
          <w:p w:rsidR="002B3512" w:rsidRPr="002B3512" w:rsidRDefault="00194F8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50C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https://normas.leg.br/?urn=urn:lex:br:federal:lei.complementar:2021-02-24;179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94F8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4F8C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0428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1-02-24;1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EAB21-D2A3-4864-8AF1-944175D5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2023-02-17T17:22:00Z</dcterms:created>
  <dcterms:modified xsi:type="dcterms:W3CDTF">2023-02-17T17:23:00Z</dcterms:modified>
</cp:coreProperties>
</file>