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984E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0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84E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984E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84E2E">
              <w:rPr>
                <w:rFonts w:asciiTheme="minorHAnsi" w:hAnsiTheme="minorHAnsi" w:cstheme="minorHAnsi"/>
                <w:sz w:val="22"/>
                <w:szCs w:val="22"/>
              </w:rPr>
              <w:t>DECRETO LEGISLATIVO Nº 172, DE 2022</w:t>
            </w:r>
          </w:p>
        </w:tc>
        <w:tc>
          <w:tcPr>
            <w:tcW w:w="6608" w:type="dxa"/>
          </w:tcPr>
          <w:p w:rsidR="002B3512" w:rsidRPr="002B3512" w:rsidRDefault="00984E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E39D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https://www2.camara.leg.br/legin/fed/decleg/2022/decretolegislativo-172-21-dezembro-2022-793529-norma-pl.html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84E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08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84E2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840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4E2E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leg/2022/decretolegislativo-172-21-dezembro-2022-793529-norma-p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ED9A0-52FB-49D0-8F22-86CAD778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311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2023-02-15T12:45:00Z</dcterms:created>
  <dcterms:modified xsi:type="dcterms:W3CDTF">2023-02-15T12:47:00Z</dcterms:modified>
</cp:coreProperties>
</file>