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F056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F056A">
              <w:rPr>
                <w:rFonts w:asciiTheme="minorHAnsi" w:hAnsiTheme="minorHAnsi" w:cstheme="minorHAnsi"/>
                <w:sz w:val="22"/>
                <w:szCs w:val="22"/>
              </w:rPr>
              <w:t>LEI Nº 12.711, DE 29 DE AGOSTO DE 2012</w:t>
            </w:r>
          </w:p>
        </w:tc>
        <w:tc>
          <w:tcPr>
            <w:tcW w:w="6043" w:type="dxa"/>
          </w:tcPr>
          <w:p w:rsidR="002B3512" w:rsidRPr="002B3512" w:rsidRDefault="00BF056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B1DE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https://normas.leg.br/?urn=urn:lex:br:federal:lei:2012-08-29;12711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F056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228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BF056A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2-08-29;127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110E1-40D6-435E-B9CB-FEB6FE061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2023-02-14T17:50:00Z</dcterms:created>
  <dcterms:modified xsi:type="dcterms:W3CDTF">2023-02-14T17:51:00Z</dcterms:modified>
</cp:coreProperties>
</file>