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53E5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3E5F">
              <w:rPr>
                <w:rFonts w:asciiTheme="minorHAnsi" w:hAnsiTheme="minorHAnsi" w:cstheme="minorHAnsi"/>
                <w:sz w:val="22"/>
                <w:szCs w:val="22"/>
              </w:rPr>
              <w:t>LEI Nº 11.079, DE 30 DE DEZEMBRO DE 2004</w:t>
            </w:r>
          </w:p>
        </w:tc>
        <w:tc>
          <w:tcPr>
            <w:tcW w:w="6043" w:type="dxa"/>
          </w:tcPr>
          <w:p w:rsidR="002B3512" w:rsidRPr="002B3512" w:rsidRDefault="00953E5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000C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https://normas.leg.br/?urn=urn:lex:br:federal:lei:2004-12-30;11079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64EE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4EED"/>
    <w:rsid w:val="00875F51"/>
    <w:rsid w:val="008854E9"/>
    <w:rsid w:val="008F2A82"/>
    <w:rsid w:val="009149A2"/>
    <w:rsid w:val="009218C8"/>
    <w:rsid w:val="0092522D"/>
    <w:rsid w:val="00933764"/>
    <w:rsid w:val="00953E5F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1FDB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4-12-30;110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34C1E-74D1-447B-9525-409F2D308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2023-02-14T13:16:00Z</dcterms:created>
  <dcterms:modified xsi:type="dcterms:W3CDTF">2023-02-14T13:17:00Z</dcterms:modified>
</cp:coreProperties>
</file>