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35CF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35CFC">
              <w:rPr>
                <w:rFonts w:asciiTheme="minorHAnsi" w:hAnsiTheme="minorHAnsi" w:cstheme="minorHAnsi"/>
                <w:sz w:val="22"/>
                <w:szCs w:val="22"/>
              </w:rPr>
              <w:t>LEI Nº 14.327, DE 13 DE ABRIL DE 2022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35CF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30A8A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https://normas.leg.br/?urn=urn:lex:br:federal:lei:2022-04-13;14327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35CFC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35CFC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2-04-13;1432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90922-BBC5-407F-9E6B-064FEA9E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2023-02-14T12:52:00Z</dcterms:created>
  <dcterms:modified xsi:type="dcterms:W3CDTF">2023-02-14T12:52:00Z</dcterms:modified>
</cp:coreProperties>
</file>