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86D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D4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F86D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86D4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86D41" w:rsidRPr="00F86D41" w:rsidRDefault="00F86D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D41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F86D41" w:rsidRDefault="00F86D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86D4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86D41" w:rsidRPr="00F86D41" w:rsidRDefault="00F86D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D41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</w:tc>
        <w:tc>
          <w:tcPr>
            <w:tcW w:w="6043" w:type="dxa"/>
          </w:tcPr>
          <w:p w:rsidR="00F86D41" w:rsidRDefault="00F86D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86D4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86D41" w:rsidRPr="00F86D41" w:rsidRDefault="00F86D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D41">
              <w:rPr>
                <w:rFonts w:asciiTheme="minorHAnsi" w:hAnsiTheme="minorHAnsi" w:cstheme="minorHAnsi"/>
                <w:sz w:val="22"/>
                <w:szCs w:val="22"/>
              </w:rPr>
              <w:t>LEI Nº 8.212, DE 24 DE JULHO DE 1991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F86D41" w:rsidRDefault="00F86D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86D4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6D41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1-07-24;821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.complementar:2006-12-14;1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CF309-C5EB-4010-ADBC-2B6CBFDB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871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2023-02-14T12:29:00Z</dcterms:created>
  <dcterms:modified xsi:type="dcterms:W3CDTF">2023-02-14T12:29:00Z</dcterms:modified>
</cp:coreProperties>
</file>