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B7B2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B7B23">
              <w:rPr>
                <w:rFonts w:asciiTheme="minorHAnsi" w:hAnsiTheme="minorHAnsi" w:cstheme="minorHAnsi"/>
                <w:sz w:val="22"/>
                <w:szCs w:val="22"/>
              </w:rPr>
              <w:t>LEI Nº 11.110, DE 25 DE ABRIL DE 2005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0B7B2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https://normas.leg.br/?urn=urn:lex:br:federal:lei:2005-04-25;11110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B7B2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B7B23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5-04-25;111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314CC-8337-4E7D-AB13-ECE040D86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2023-02-14T11:54:00Z</dcterms:created>
  <dcterms:modified xsi:type="dcterms:W3CDTF">2023-02-14T11:54:00Z</dcterms:modified>
</cp:coreProperties>
</file>