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B502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B502A">
              <w:rPr>
                <w:rFonts w:asciiTheme="minorHAnsi" w:hAnsiTheme="minorHAnsi" w:cstheme="minorHAnsi"/>
                <w:sz w:val="22"/>
                <w:szCs w:val="22"/>
              </w:rPr>
              <w:t>LEI Nº 12.485, DE 12 DE SETEMBRO DE 2011</w:t>
            </w:r>
          </w:p>
        </w:tc>
        <w:tc>
          <w:tcPr>
            <w:tcW w:w="6043" w:type="dxa"/>
          </w:tcPr>
          <w:p w:rsidR="002B3512" w:rsidRPr="002B3512" w:rsidRDefault="001B50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https://normas.leg.br/?urn=urn:lex:br:federal:lei:2011-09-12;12485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B502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502A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1-09-12;1248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009FB-938B-4AF8-A42D-9C37C82CD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2023-02-13T16:33:00Z</dcterms:created>
  <dcterms:modified xsi:type="dcterms:W3CDTF">2023-02-13T16:33:00Z</dcterms:modified>
</cp:coreProperties>
</file>