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525"/>
        <w:gridCol w:w="6537"/>
      </w:tblGrid>
      <w:tr w:rsidR="002B3512" w:rsidRPr="002B3512" w:rsidTr="00C31F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37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C31F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F73C7C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73C7C">
              <w:rPr>
                <w:rFonts w:asciiTheme="minorHAnsi" w:hAnsiTheme="minorHAnsi" w:cstheme="minorHAnsi"/>
                <w:sz w:val="22"/>
                <w:szCs w:val="22"/>
              </w:rPr>
              <w:t>LEI COMPLEMENTAR Nº 123, DE 14 DE DEZEMBRO DE 2006</w:t>
            </w:r>
          </w:p>
        </w:tc>
        <w:tc>
          <w:tcPr>
            <w:tcW w:w="6537" w:type="dxa"/>
          </w:tcPr>
          <w:p w:rsidR="002B3512" w:rsidRPr="002B3512" w:rsidRDefault="00F73C7C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B449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https://normas.leg.br/?urn=urn:lex:br:federal:lei.complementar:2006-12-14;123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C31F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5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537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C31FDF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03C5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1FDF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3C7C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.complementar:2006-12-14;1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B162C-3403-4492-B0D3-1A5CD68E5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262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2023-02-10T18:35:00Z</dcterms:created>
  <dcterms:modified xsi:type="dcterms:W3CDTF">2023-02-10T18:36:00Z</dcterms:modified>
</cp:coreProperties>
</file>