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F85308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85308">
              <w:rPr>
                <w:rFonts w:asciiTheme="minorHAnsi" w:hAnsiTheme="minorHAnsi" w:cstheme="minorHAnsi"/>
                <w:sz w:val="22"/>
                <w:szCs w:val="22"/>
              </w:rPr>
              <w:t>DECRETO-LEI Nº 667, DE 2 DE JULHO DE 1969</w:t>
            </w:r>
          </w:p>
        </w:tc>
        <w:tc>
          <w:tcPr>
            <w:tcW w:w="6043" w:type="dxa"/>
          </w:tcPr>
          <w:p w:rsidR="002B3512" w:rsidRPr="002B3512" w:rsidRDefault="00F85308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675344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https://normas.leg.br/?urn=urn:lex:br:federal:decreto.lei:1969-07-02;667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0162CE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162CE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77873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85308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decreto.lei:1969-07-02;66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F26345-DE95-41E6-906C-509952491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243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4</cp:revision>
  <cp:lastPrinted>2023-01-03T22:17:00Z</cp:lastPrinted>
  <dcterms:created xsi:type="dcterms:W3CDTF">2023-02-10T16:26:00Z</dcterms:created>
  <dcterms:modified xsi:type="dcterms:W3CDTF">2023-02-10T16:28:00Z</dcterms:modified>
</cp:coreProperties>
</file>