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D8549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85493">
              <w:rPr>
                <w:rFonts w:asciiTheme="minorHAnsi" w:hAnsiTheme="minorHAnsi" w:cstheme="minorHAnsi"/>
                <w:sz w:val="22"/>
                <w:szCs w:val="22"/>
              </w:rPr>
              <w:t>DECRETO Nº 11.392, DE 20 DE JANEIRO DE 2023</w:t>
            </w:r>
          </w:p>
        </w:tc>
        <w:tc>
          <w:tcPr>
            <w:tcW w:w="6043" w:type="dxa"/>
          </w:tcPr>
          <w:p w:rsidR="002B3512" w:rsidRPr="002B3512" w:rsidRDefault="00D8549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88028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https://www2.camara.leg.br/legin/fed/decret/2023/decreto-11392-20-janeiro-2023-793720-norma-pe.html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D85493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45943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23284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85493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decret/2023/decreto-11392-20-janeiro-2023-793720-norma-pe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40CF4-139A-49CD-8C75-D8DB3AC53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299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5</cp:revision>
  <cp:lastPrinted>2023-01-03T22:17:00Z</cp:lastPrinted>
  <dcterms:created xsi:type="dcterms:W3CDTF">2023-02-10T13:32:00Z</dcterms:created>
  <dcterms:modified xsi:type="dcterms:W3CDTF">2023-02-10T13:35:00Z</dcterms:modified>
</cp:coreProperties>
</file>