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377C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377C8">
              <w:rPr>
                <w:rFonts w:asciiTheme="minorHAnsi" w:hAnsiTheme="minorHAnsi" w:cstheme="minorHAnsi"/>
                <w:sz w:val="22"/>
                <w:szCs w:val="22"/>
              </w:rPr>
              <w:t>LEI Nº 8.857, DE 08 DE MARÇO DE 1994</w:t>
            </w:r>
          </w:p>
        </w:tc>
        <w:tc>
          <w:tcPr>
            <w:tcW w:w="6043" w:type="dxa"/>
          </w:tcPr>
          <w:p w:rsidR="002B3512" w:rsidRPr="002B3512" w:rsidRDefault="00B377C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https://normas.leg.br/?urn=urn:lex:br:federal:lei:1994-03-08;8857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377C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377C8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4-03-08;885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24650-9F1B-4416-94BA-28D500F07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2023-02-09T16:43:00Z</dcterms:created>
  <dcterms:modified xsi:type="dcterms:W3CDTF">2023-02-09T16:43:00Z</dcterms:modified>
</cp:coreProperties>
</file>