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34B1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4B13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334B1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40F9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34B1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4B13">
              <w:rPr>
                <w:rFonts w:asciiTheme="minorHAnsi" w:hAnsiTheme="minorHAnsi" w:cstheme="minorHAnsi"/>
                <w:sz w:val="22"/>
                <w:szCs w:val="22"/>
              </w:rPr>
              <w:t>DECRETO Nº 6.949, DE 25 DE AGOSTO DE 2009</w:t>
            </w:r>
          </w:p>
        </w:tc>
        <w:tc>
          <w:tcPr>
            <w:tcW w:w="6043" w:type="dxa"/>
          </w:tcPr>
          <w:p w:rsidR="002B3512" w:rsidRPr="002B3512" w:rsidRDefault="00334B1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40F9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https://www2.camara.leg.br/legin/fed/decret/2009/decreto-6949-25-agosto-2009-590871-norma-pe.html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334B1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4B1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61CD3" w:rsidRPr="002B3512" w:rsidRDefault="00334B1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640F9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52C7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4B13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2743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2C73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09/decreto-6949-25-agosto-2009-590871-norma-p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844E3-35A4-4622-A1C9-D7785C81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2023-02-08T21:53:00Z</dcterms:created>
  <dcterms:modified xsi:type="dcterms:W3CDTF">2023-02-08T21:55:00Z</dcterms:modified>
</cp:coreProperties>
</file>