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51F9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1F9F">
              <w:rPr>
                <w:rFonts w:asciiTheme="minorHAnsi" w:hAnsiTheme="minorHAnsi" w:cstheme="minorHAnsi"/>
                <w:sz w:val="22"/>
                <w:szCs w:val="22"/>
              </w:rPr>
              <w:t>LEI Nº 14.375, DE 21 DE JUNHO DE 2022</w:t>
            </w:r>
          </w:p>
        </w:tc>
        <w:tc>
          <w:tcPr>
            <w:tcW w:w="6043" w:type="dxa"/>
          </w:tcPr>
          <w:p w:rsidR="002B3512" w:rsidRPr="002B3512" w:rsidRDefault="00051F9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61D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https://normas.leg.br/?urn=urn:lex:br:federal:lei:2022-06-21;14375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51F9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51F9F"/>
    <w:rsid w:val="00085EF8"/>
    <w:rsid w:val="000A71E4"/>
    <w:rsid w:val="000B769A"/>
    <w:rsid w:val="000C047C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2-06-21;143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916D2-0228-4AAF-A930-32CDAAA48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2023-02-08T21:42:00Z</dcterms:created>
  <dcterms:modified xsi:type="dcterms:W3CDTF">2023-02-08T21:43:00Z</dcterms:modified>
</cp:coreProperties>
</file>