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54"/>
        <w:gridCol w:w="6608"/>
      </w:tblGrid>
      <w:tr w:rsidR="002B3512" w:rsidRPr="002B3512" w:rsidTr="00CB1B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60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CB1B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CB1BB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1BB9">
              <w:rPr>
                <w:rFonts w:asciiTheme="minorHAnsi" w:hAnsiTheme="minorHAnsi" w:cstheme="minorHAnsi"/>
                <w:sz w:val="22"/>
                <w:szCs w:val="22"/>
              </w:rPr>
              <w:t>DECRETO LEGISLATIVO Nº 6, DE 2020</w:t>
            </w:r>
          </w:p>
        </w:tc>
        <w:tc>
          <w:tcPr>
            <w:tcW w:w="6608" w:type="dxa"/>
          </w:tcPr>
          <w:p w:rsidR="002B3512" w:rsidRPr="002B3512" w:rsidRDefault="00CB1BB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F15E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https://www2.camara.leg.br/legin/fed/decleg/2020/decretolegislativo-6-20-marco-2020-789861-norma-pl.html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CB1B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08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B1BB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04FE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B1BB9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leg/2020/decretolegislativo-6-20-marco-2020-789861-norma-pl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49B47-8102-4CA5-A32E-AD08E482B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2023-02-08T21:26:00Z</dcterms:created>
  <dcterms:modified xsi:type="dcterms:W3CDTF">2023-02-08T21:28:00Z</dcterms:modified>
</cp:coreProperties>
</file>