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F277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F277F">
              <w:rPr>
                <w:rFonts w:asciiTheme="minorHAnsi" w:hAnsiTheme="minorHAnsi" w:cstheme="minorHAnsi"/>
                <w:sz w:val="22"/>
                <w:szCs w:val="22"/>
              </w:rPr>
              <w:t>LEI Nº 10.880, DE 9 DE JUNHO DE 2004</w:t>
            </w:r>
          </w:p>
        </w:tc>
        <w:tc>
          <w:tcPr>
            <w:tcW w:w="6043" w:type="dxa"/>
          </w:tcPr>
          <w:p w:rsidR="002B3512" w:rsidRPr="002B3512" w:rsidRDefault="00AF277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867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https://normas.leg.br/?urn=urn:lex:br:federal:lei:2004-06-09;10880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F277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C71B0"/>
    <w:rsid w:val="00AD3BB9"/>
    <w:rsid w:val="00AD5B09"/>
    <w:rsid w:val="00AE4549"/>
    <w:rsid w:val="00AF277F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0F89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4-06-09;108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63783-35B1-4548-BEF6-1E52947BB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2023-02-08T19:18:00Z</dcterms:created>
  <dcterms:modified xsi:type="dcterms:W3CDTF">2023-02-08T19:22:00Z</dcterms:modified>
</cp:coreProperties>
</file>