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2130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130C">
              <w:rPr>
                <w:rFonts w:asciiTheme="minorHAnsi" w:hAnsiTheme="minorHAnsi" w:cstheme="minorHAnsi"/>
                <w:sz w:val="22"/>
                <w:szCs w:val="22"/>
              </w:rPr>
              <w:t>DECRETO Nº 11.328, DE 1º DE JANEIRO DE 2023</w:t>
            </w:r>
          </w:p>
        </w:tc>
        <w:tc>
          <w:tcPr>
            <w:tcW w:w="6043" w:type="dxa"/>
          </w:tcPr>
          <w:p w:rsidR="002B3512" w:rsidRPr="002B3512" w:rsidRDefault="0042130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F0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https://www2.camara.leg.br/legin/fed/decret/2023/decreto-11328-1-janeiro-2023-793615-norma-pe.html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2130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30C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5075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28-1-janeiro-2023-793615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05487-E462-4023-BB0A-E6BAE9271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2023-02-07T18:49:00Z</dcterms:created>
  <dcterms:modified xsi:type="dcterms:W3CDTF">2023-02-07T18:50:00Z</dcterms:modified>
</cp:coreProperties>
</file>