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525"/>
        <w:gridCol w:w="6537"/>
      </w:tblGrid>
      <w:tr w:rsidR="002B3512" w:rsidRPr="002B3512" w:rsidTr="00791E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37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791E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</w:tcPr>
          <w:p w:rsidR="002B3512" w:rsidRPr="002B3512" w:rsidRDefault="00791E0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91E00">
              <w:rPr>
                <w:rFonts w:asciiTheme="minorHAnsi" w:hAnsiTheme="minorHAnsi" w:cstheme="minorHAnsi"/>
                <w:sz w:val="22"/>
                <w:szCs w:val="22"/>
              </w:rPr>
              <w:t>LEI COMPLEMENTAR Nº 101, DE 4 DE MAIO DE 2000</w:t>
            </w:r>
          </w:p>
        </w:tc>
        <w:tc>
          <w:tcPr>
            <w:tcW w:w="6537" w:type="dxa"/>
          </w:tcPr>
          <w:p w:rsidR="002B3512" w:rsidRPr="002B3512" w:rsidRDefault="00791E0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68606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https://normas.leg.br/?urn=urn:lex:br:federal:lei.complementar:2000-05-04;101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791E00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6F17B8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91E00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.complementar:2000-05-04;10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DB5A8E-CC14-4A32-B8E2-64F3CC751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254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2023-02-07T13:47:00Z</dcterms:created>
  <dcterms:modified xsi:type="dcterms:W3CDTF">2023-02-07T13:50:00Z</dcterms:modified>
</cp:coreProperties>
</file>