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A461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4610">
              <w:rPr>
                <w:rFonts w:asciiTheme="minorHAnsi" w:hAnsiTheme="minorHAnsi" w:cstheme="minorHAnsi"/>
                <w:sz w:val="22"/>
                <w:szCs w:val="22"/>
              </w:rPr>
              <w:t>LEI Nº 11.904, DE 14 DE JANEIRO DE 2009</w:t>
            </w:r>
          </w:p>
        </w:tc>
        <w:tc>
          <w:tcPr>
            <w:tcW w:w="6043" w:type="dxa"/>
          </w:tcPr>
          <w:p w:rsidR="002B3512" w:rsidRPr="002B3512" w:rsidRDefault="003A461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3A4610">
              <w:rPr>
                <w:rFonts w:asciiTheme="minorHAnsi" w:hAnsiTheme="minorHAnsi" w:cstheme="minorHAnsi"/>
                <w:sz w:val="22"/>
                <w:szCs w:val="22"/>
              </w:rPr>
              <w:t>https://normas.leg.br/?urn=urn:lex:br:federal:lei:2009-01-14;11904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8"/>
      <w:footerReference w:type="default" r:id="rId9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A461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4610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0A38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1B648-734D-4C85-94C3-E7DBE12C4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142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2023-02-06T18:55:00Z</dcterms:created>
  <dcterms:modified xsi:type="dcterms:W3CDTF">2023-02-06T18:56:00Z</dcterms:modified>
</cp:coreProperties>
</file>