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95B5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95B50">
              <w:rPr>
                <w:rFonts w:asciiTheme="minorHAnsi" w:hAnsiTheme="minorHAnsi" w:cstheme="minorHAnsi"/>
                <w:sz w:val="22"/>
                <w:szCs w:val="22"/>
              </w:rPr>
              <w:t>LEI Nº 12.527, DE 18 DE NOVEMBRO DE 2011</w:t>
            </w:r>
          </w:p>
        </w:tc>
        <w:tc>
          <w:tcPr>
            <w:tcW w:w="6043" w:type="dxa"/>
          </w:tcPr>
          <w:p w:rsidR="002B3512" w:rsidRPr="002B3512" w:rsidRDefault="00F95B5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B324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https://normas.leg.br/?urn=urn:lex:br:federal:lei:2011-11-18;12527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95B5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24E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95B50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1-11-18;1252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57D45-C7C6-4097-9024-948339C4F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2023-02-06T16:31:00Z</dcterms:created>
  <dcterms:modified xsi:type="dcterms:W3CDTF">2023-02-06T16:32:00Z</dcterms:modified>
</cp:coreProperties>
</file>