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E2FB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2FB6">
              <w:rPr>
                <w:rFonts w:asciiTheme="minorHAnsi" w:hAnsiTheme="minorHAnsi" w:cstheme="minorHAnsi"/>
                <w:sz w:val="22"/>
                <w:szCs w:val="22"/>
              </w:rPr>
              <w:t>LEI Nº 14.312, DE 14 DE MARÇO DE 2022</w:t>
            </w:r>
          </w:p>
        </w:tc>
        <w:tc>
          <w:tcPr>
            <w:tcW w:w="6043" w:type="dxa"/>
          </w:tcPr>
          <w:p w:rsidR="002B3512" w:rsidRPr="002B3512" w:rsidRDefault="006E2FB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6E7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https://normas.leg.br/?urn=urn:lex:br:federal:lei:2022-03-14;14312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E2FB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4B8C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E2FB6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3-14;143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FD0A0-DB4F-4C4B-8B8B-06AA6BF4E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2023-02-06T15:27:00Z</dcterms:created>
  <dcterms:modified xsi:type="dcterms:W3CDTF">2023-02-06T15:31:00Z</dcterms:modified>
</cp:coreProperties>
</file>