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6D38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6D3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D38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D386A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6D38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F120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6D3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D38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D386A">
              <w:rPr>
                <w:rFonts w:asciiTheme="minorHAnsi" w:hAnsiTheme="minorHAnsi" w:cstheme="minorHAnsi"/>
                <w:sz w:val="22"/>
                <w:szCs w:val="22"/>
              </w:rPr>
              <w:t>DECRETO Nº 10.966, DE 11 DE FEVEREIRO DE 2022</w:t>
            </w:r>
          </w:p>
        </w:tc>
        <w:tc>
          <w:tcPr>
            <w:tcW w:w="6043" w:type="dxa"/>
          </w:tcPr>
          <w:p w:rsidR="002B3512" w:rsidRPr="002B3512" w:rsidRDefault="006D38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F120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https://www2.camara.leg.br/legin/fed/decret/2022/decreto-10966-11-fevereiro-2022-792293-norma-pe.html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D386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386A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0563D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22/decreto-10966-11-fevereiro-2022-792293-norma-pe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04C2D-F814-4E0A-99CB-4046DD614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2023-01-16T20:17:00Z</dcterms:created>
  <dcterms:modified xsi:type="dcterms:W3CDTF">2023-01-16T20:24:00Z</dcterms:modified>
</cp:coreProperties>
</file>