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4A2B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4A2B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4A2B4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2B47">
              <w:rPr>
                <w:rFonts w:asciiTheme="minorHAnsi" w:hAnsiTheme="minorHAnsi" w:cstheme="minorHAnsi"/>
                <w:sz w:val="22"/>
                <w:szCs w:val="22"/>
              </w:rPr>
              <w:t>LEI Nº 12.529, DE 30 DE NOVEMBRO DE 2011</w:t>
            </w:r>
          </w:p>
        </w:tc>
        <w:tc>
          <w:tcPr>
            <w:tcW w:w="5164" w:type="dxa"/>
          </w:tcPr>
          <w:p w:rsidR="002B3512" w:rsidRPr="002B3512" w:rsidRDefault="004A2B4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https://normas.leg.br/?urn=urn:lex:br:federal:lei:2011-11-30;12529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A2B4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A2B47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67902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1-11-30;1252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A3045-287C-4FC1-B8E3-A232465B8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2023-01-10T15:53:00Z</dcterms:created>
  <dcterms:modified xsi:type="dcterms:W3CDTF">2023-01-10T15:55:00Z</dcterms:modified>
</cp:coreProperties>
</file>