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7162C892" w:rsidR="00863863" w:rsidRPr="00CB78A8" w:rsidRDefault="00863863" w:rsidP="00863863">
      <w:pPr>
        <w:pStyle w:val="cabea"/>
      </w:pPr>
      <w:r w:rsidRPr="00CB78A8">
        <w:t xml:space="preserve">projeto de lei nº </w:t>
      </w:r>
      <w:r w:rsidR="00062F0E">
        <w:t>2</w:t>
      </w:r>
      <w:r w:rsidR="0077455A">
        <w:t>.</w:t>
      </w:r>
      <w:r w:rsidR="00062F0E">
        <w:t>438</w:t>
      </w:r>
      <w:r w:rsidRPr="00CB78A8">
        <w:t>-</w:t>
      </w:r>
      <w:r w:rsidR="009D5C20">
        <w:t>A</w:t>
      </w:r>
      <w:r w:rsidR="00BE7484">
        <w:t xml:space="preserve"> </w:t>
      </w:r>
      <w:r w:rsidRPr="00CB78A8">
        <w:t>de 20</w:t>
      </w:r>
      <w:r w:rsidR="00062F0E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109CA58D" w:rsidR="00863863" w:rsidRDefault="009D5C20" w:rsidP="001C1D47">
      <w:pPr>
        <w:pStyle w:val="ementa"/>
      </w:pPr>
      <w:r w:rsidRPr="009E249B">
        <w:t xml:space="preserve">Fixa </w:t>
      </w:r>
      <w:r w:rsidR="00062F0E" w:rsidRPr="009E249B">
        <w:t xml:space="preserve">o subsídio de Ministro do Supremo Tribunal Federal, referido no inciso XV do </w:t>
      </w:r>
      <w:r w:rsidR="00062F0E" w:rsidRPr="009E249B">
        <w:rPr>
          <w:i/>
        </w:rPr>
        <w:t xml:space="preserve">caput </w:t>
      </w:r>
      <w:r w:rsidR="00062F0E" w:rsidRPr="009E249B">
        <w:t>do art. 48 da Constituição Federal</w:t>
      </w:r>
      <w:r w:rsidRPr="009E249B">
        <w:t>;</w:t>
      </w:r>
      <w:r w:rsidR="00062F0E" w:rsidRPr="009E249B">
        <w:t xml:space="preserve"> e dá outras providências</w:t>
      </w:r>
      <w:r w:rsidR="001C1D47" w:rsidRPr="009E249B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2A4CEB07" w14:textId="31CE50E2" w:rsidR="001C1D47" w:rsidRDefault="001C1D47" w:rsidP="00062F0E">
      <w:pPr>
        <w:pStyle w:val="texto1"/>
      </w:pPr>
      <w:r>
        <w:t xml:space="preserve">Art. 1º </w:t>
      </w:r>
      <w:r w:rsidR="00062F0E">
        <w:t xml:space="preserve">O subsídio mensal de Ministro do Supremo Tribunal Federal, referido </w:t>
      </w:r>
      <w:r w:rsidR="00062F0E" w:rsidRPr="009E249B">
        <w:t xml:space="preserve">no inciso XV do </w:t>
      </w:r>
      <w:r w:rsidR="009D5C20" w:rsidRPr="009E249B">
        <w:rPr>
          <w:i/>
        </w:rPr>
        <w:t>caput</w:t>
      </w:r>
      <w:r w:rsidR="009D5C20" w:rsidRPr="009E249B">
        <w:t xml:space="preserve"> do </w:t>
      </w:r>
      <w:r w:rsidR="00062F0E" w:rsidRPr="009E249B">
        <w:t xml:space="preserve">art. 48 da Constituição Federal, observado o disposto no art. 3º desta Lei, será de R$ 46.366,19 (quarenta e seis mil trezentos e </w:t>
      </w:r>
      <w:r w:rsidR="00062F0E">
        <w:t xml:space="preserve">sessenta e seis reais e dezenove centavos), implementado em parcelas sucessivas, não cumulativas, </w:t>
      </w:r>
      <w:r w:rsidR="009D5C20">
        <w:t>da seguinte forma</w:t>
      </w:r>
      <w:r w:rsidR="00062F0E">
        <w:t>:</w:t>
      </w:r>
    </w:p>
    <w:p w14:paraId="6DEC47F3" w14:textId="36BC752E" w:rsidR="00F57C72" w:rsidRPr="00F57C72" w:rsidRDefault="00F57C72" w:rsidP="00F57C72">
      <w:pPr>
        <w:pStyle w:val="texto1"/>
      </w:pPr>
      <w:r>
        <w:t xml:space="preserve">I </w:t>
      </w:r>
      <w:r w:rsidRPr="00F57C72">
        <w:t>– R$ 41.650,</w:t>
      </w:r>
      <w:r>
        <w:t>92</w:t>
      </w:r>
      <w:r w:rsidRPr="00F57C72">
        <w:t xml:space="preserve"> (quarenta e um mil seiscentos e cinquenta reais e noventa e dois centavos), a partir de 1º de abril de 2023;</w:t>
      </w:r>
    </w:p>
    <w:p w14:paraId="1C91322F" w14:textId="7C82A7F1" w:rsidR="00F57C72" w:rsidRPr="00F57C72" w:rsidRDefault="00F57C72" w:rsidP="00F57C72">
      <w:pPr>
        <w:pStyle w:val="texto1"/>
      </w:pPr>
      <w:r w:rsidRPr="00F57C72">
        <w:t xml:space="preserve">II – R$ 44.008,52 (quarenta e quatro mil </w:t>
      </w:r>
      <w:r>
        <w:t xml:space="preserve">e oito reais </w:t>
      </w:r>
      <w:r w:rsidRPr="00F57C72">
        <w:t>e cinquenta</w:t>
      </w:r>
      <w:r>
        <w:t xml:space="preserve"> e dois centavos)</w:t>
      </w:r>
      <w:r w:rsidRPr="00F57C72">
        <w:t>, a partir de 1º de fevereiro de 2024;</w:t>
      </w:r>
    </w:p>
    <w:p w14:paraId="093F0720" w14:textId="3B71CC93" w:rsidR="00F57C72" w:rsidRDefault="00F57C72" w:rsidP="00F57C72">
      <w:pPr>
        <w:pStyle w:val="texto1"/>
      </w:pPr>
      <w:r w:rsidRPr="00F57C72">
        <w:t>I</w:t>
      </w:r>
      <w:r>
        <w:t>II</w:t>
      </w:r>
      <w:r w:rsidRPr="00F57C72">
        <w:t xml:space="preserve"> – R$ 46.366,19 (quarenta e seis mil</w:t>
      </w:r>
      <w:r>
        <w:t xml:space="preserve"> </w:t>
      </w:r>
      <w:r w:rsidRPr="00F57C72">
        <w:t>trezentos e sessenta e seis reais e dezenove centavos), a partir de 1º de fevereiro de 2025.</w:t>
      </w:r>
    </w:p>
    <w:p w14:paraId="079C0308" w14:textId="77777777" w:rsidR="00062F0E" w:rsidRDefault="00062F0E" w:rsidP="00062F0E">
      <w:pPr>
        <w:pStyle w:val="texto1"/>
      </w:pPr>
      <w:r>
        <w:t>Art. 2º As despesas resultantes da aplicação desta Lei correrão à conta das dotações orçamentárias consignadas aos órgãos do Poder Judiciário da União.</w:t>
      </w:r>
    </w:p>
    <w:p w14:paraId="2A531256" w14:textId="2358943A" w:rsidR="00062F0E" w:rsidRPr="009E249B" w:rsidRDefault="00062F0E" w:rsidP="00062F0E">
      <w:pPr>
        <w:pStyle w:val="texto1"/>
      </w:pPr>
      <w:r w:rsidRPr="009E249B">
        <w:t>Art. 3º A implementação do disposto nesta Lei observará o art. 169 da Constituição Federal.</w:t>
      </w:r>
    </w:p>
    <w:p w14:paraId="1160CBBC" w14:textId="1AED58BE" w:rsidR="00062F0E" w:rsidRPr="009E249B" w:rsidRDefault="00062F0E" w:rsidP="001C1D47">
      <w:pPr>
        <w:pStyle w:val="texto1"/>
        <w:rPr>
          <w:color w:val="000000"/>
        </w:rPr>
      </w:pPr>
      <w:r w:rsidRPr="009E249B">
        <w:rPr>
          <w:color w:val="000000"/>
        </w:rPr>
        <w:lastRenderedPageBreak/>
        <w:t>Art. 4º Esta Lei entra em vigor na data de sua publicação.</w:t>
      </w:r>
    </w:p>
    <w:p w14:paraId="63E13D4A" w14:textId="086D8194" w:rsidR="000659C9" w:rsidRPr="00BE7484" w:rsidRDefault="000659C9" w:rsidP="001C1D47">
      <w:pPr>
        <w:pStyle w:val="texto1"/>
      </w:pPr>
      <w:r w:rsidRPr="009E249B">
        <w:rPr>
          <w:color w:val="000000"/>
        </w:rPr>
        <w:t>Sala das Se</w:t>
      </w:r>
      <w:r w:rsidR="00BE7484" w:rsidRPr="009E249B">
        <w:rPr>
          <w:color w:val="000000"/>
        </w:rPr>
        <w:t>ssões,</w:t>
      </w:r>
      <w:r w:rsidR="00BE7484">
        <w:rPr>
          <w:color w:val="000000"/>
        </w:rPr>
        <w:t xml:space="preserve"> em</w:t>
      </w:r>
      <w:r w:rsidR="009D5C20">
        <w:rPr>
          <w:color w:val="000000"/>
        </w:rPr>
        <w:t xml:space="preserve"> 2</w:t>
      </w:r>
      <w:r w:rsidR="00F57C72">
        <w:rPr>
          <w:color w:val="000000"/>
        </w:rPr>
        <w:t>1</w:t>
      </w:r>
      <w:r w:rsidR="009D5C20">
        <w:rPr>
          <w:color w:val="000000"/>
        </w:rPr>
        <w:t xml:space="preserve"> de dezembro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140D669A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99216C">
        <w:rPr>
          <w:szCs w:val="24"/>
        </w:rPr>
        <w:t>EDUARDO BISMARCK</w:t>
      </w:r>
      <w:bookmarkStart w:id="0" w:name="_GoBack"/>
      <w:bookmarkEnd w:id="0"/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9216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2F0E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8B5170"/>
    <w:rsid w:val="0097659B"/>
    <w:rsid w:val="0099216C"/>
    <w:rsid w:val="009D5C20"/>
    <w:rsid w:val="009E249B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17525"/>
    <w:rsid w:val="00E31C64"/>
    <w:rsid w:val="00E42D0A"/>
    <w:rsid w:val="00E779FF"/>
    <w:rsid w:val="00E87019"/>
    <w:rsid w:val="00E9542E"/>
    <w:rsid w:val="00E975CB"/>
    <w:rsid w:val="00F23FBC"/>
    <w:rsid w:val="00F25CB9"/>
    <w:rsid w:val="00F5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2022-12-21T17:25:00Z</dcterms:created>
  <dcterms:modified xsi:type="dcterms:W3CDTF">2022-12-21T17:25:00Z</dcterms:modified>
</cp:coreProperties>
</file>