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8"/>
      </w:tblGrid>
      <w:tr w:rsidR="006A2288">
        <w:tc>
          <w:tcPr>
            <w:tcW w:w="9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51" w:type="dxa"/>
            </w:tcMar>
          </w:tcPr>
          <w:p w:rsidR="006A2288" w:rsidRDefault="00D75435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Lei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7.785/2010</w:t>
            </w:r>
            <w:r w:rsidR="0006757E"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</w:t>
            </w:r>
            <w:r w:rsidR="0006757E">
              <w:rPr>
                <w:rStyle w:val="Refdenotaderodap"/>
                <w:rFonts w:ascii="Times New Roman" w:hAnsi="Times New Roman" w:cs="Times New Roman"/>
                <w:b/>
                <w:shd w:val="clear" w:color="auto" w:fill="DDDDDD"/>
              </w:rPr>
              <w:footnoteReference w:id="1"/>
            </w:r>
          </w:p>
          <w:p w:rsidR="00386371" w:rsidRDefault="00386371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</w:p>
        </w:tc>
      </w:tr>
    </w:tbl>
    <w:p w:rsidR="006A2288" w:rsidRDefault="006A2288"/>
    <w:p w:rsidR="002B02CE" w:rsidRPr="00B87160" w:rsidRDefault="00D75435" w:rsidP="002B02CE">
      <w:pPr>
        <w:pStyle w:val="Estilo1"/>
        <w:spacing w:after="0"/>
        <w:ind w:firstLine="0"/>
        <w:rPr>
          <w:rFonts w:ascii="Times New Roman" w:eastAsia="Arial" w:hAnsi="Times New Roman"/>
          <w:color w:val="000000"/>
        </w:rPr>
      </w:pPr>
      <w:r w:rsidRPr="00843A54">
        <w:rPr>
          <w:b/>
          <w:sz w:val="26"/>
          <w:szCs w:val="26"/>
        </w:rPr>
        <w:t xml:space="preserve">1. </w:t>
      </w:r>
      <w:r w:rsidRPr="00086215">
        <w:rPr>
          <w:rFonts w:ascii="Times New Roman" w:eastAsia="Arial" w:hAnsi="Times New Roman"/>
          <w:b/>
          <w:color w:val="000000"/>
          <w:sz w:val="26"/>
          <w:szCs w:val="26"/>
        </w:rPr>
        <w:t>Síntese da Matéria</w:t>
      </w:r>
      <w:r w:rsidRPr="00843A54">
        <w:rPr>
          <w:b/>
          <w:sz w:val="26"/>
          <w:szCs w:val="26"/>
        </w:rPr>
        <w:t>:</w:t>
      </w:r>
      <w:r w:rsidR="002B02CE">
        <w:rPr>
          <w:b/>
          <w:sz w:val="26"/>
          <w:szCs w:val="26"/>
        </w:rPr>
        <w:t xml:space="preserve"> </w:t>
      </w:r>
      <w:r w:rsidR="002B02CE" w:rsidRPr="00B87160">
        <w:rPr>
          <w:rFonts w:ascii="Times New Roman" w:eastAsia="Arial" w:hAnsi="Times New Roman"/>
          <w:color w:val="000000"/>
        </w:rPr>
        <w:t>O Projeto de Lei nº 7.785, de 2010, de autoria do Ministério Público da União (MPU), tem como objetivo primordial a instituição de Gratificação de Controle Interno – GCI e a Gratificação de Atividade de Orçamento – GAO no âmbito do Ministério Público da União e do Conselho Nacional do Ministério Público.</w:t>
      </w:r>
    </w:p>
    <w:p w:rsidR="006A2288" w:rsidRPr="00B87160" w:rsidRDefault="006A2288" w:rsidP="00C12155">
      <w:pPr>
        <w:pStyle w:val="Corpo"/>
        <w:spacing w:line="240" w:lineRule="atLeast"/>
        <w:ind w:firstLine="0"/>
      </w:pPr>
    </w:p>
    <w:p w:rsidR="002B02CE" w:rsidRDefault="000B06FF" w:rsidP="002B02CE">
      <w:pPr>
        <w:pStyle w:val="Corpo"/>
        <w:spacing w:line="240" w:lineRule="atLeast"/>
        <w:ind w:firstLine="0"/>
      </w:pPr>
      <w:r w:rsidRPr="00843A54">
        <w:rPr>
          <w:b/>
          <w:sz w:val="26"/>
          <w:szCs w:val="26"/>
        </w:rPr>
        <w:t>2. Análise:</w:t>
      </w:r>
      <w:r w:rsidR="002B02CE">
        <w:rPr>
          <w:b/>
          <w:sz w:val="26"/>
          <w:szCs w:val="26"/>
        </w:rPr>
        <w:t xml:space="preserve"> </w:t>
      </w:r>
      <w:r w:rsidR="002B02CE">
        <w:t xml:space="preserve">O </w:t>
      </w:r>
      <w:r w:rsidR="002B02CE" w:rsidRPr="007A6AC6">
        <w:t xml:space="preserve">Projeto de Lei não atende </w:t>
      </w:r>
      <w:r w:rsidR="00EC36A2">
        <w:t xml:space="preserve">ao </w:t>
      </w:r>
      <w:r w:rsidR="002B02CE" w:rsidRPr="007A6AC6">
        <w:t>§ 1º do art</w:t>
      </w:r>
      <w:r w:rsidR="002B02CE">
        <w:t>igo 169 da Constituição Federal, uma vez que a Lei nº 13.707, de 14.08.2018 (LDO/2019), não autoriza a concessão de vantagens ou aumento de remuneração para servidores do MPU. O projeto também não detalha a memória de cálculo do impacto orçamentário d</w:t>
      </w:r>
      <w:bookmarkStart w:id="0" w:name="_GoBack"/>
      <w:bookmarkEnd w:id="0"/>
      <w:r w:rsidR="002B02CE">
        <w:t>a instituição da</w:t>
      </w:r>
      <w:r w:rsidR="00EC36A2">
        <w:t>s</w:t>
      </w:r>
      <w:r w:rsidR="002B02CE">
        <w:t xml:space="preserve"> gratificaç</w:t>
      </w:r>
      <w:r w:rsidR="00EC36A2">
        <w:t>ões</w:t>
      </w:r>
      <w:r w:rsidR="002B02CE">
        <w:t>, contrariando os artigos 100 e 114 da LDO/2019. Ademais, verifica-se que, no orçamento de 2019, o MPU extrapolou em R$ 118,4 milhões</w:t>
      </w:r>
      <w:r w:rsidR="00EC36A2">
        <w:t>,</w:t>
      </w:r>
      <w:r w:rsidR="002B02CE">
        <w:t xml:space="preserve"> o teto de gasto fixado pela Emenda Constitucional nº 95/2016 (Limite determinado pela EC nº 95/2016: R$ 6.188,5 milhões e valor autorizado na LOA/2019: R$ 6.306,8 milhões). Embora os §§ 7º e 8 º do art. 107 do ADCT permitam a compensação de limites entre o Executivo e demais Poderes e Órgãos nos exercício de </w:t>
      </w:r>
      <w:proofErr w:type="gramStart"/>
      <w:r w:rsidR="002B02CE">
        <w:t>2017 a 2019, tal</w:t>
      </w:r>
      <w:proofErr w:type="gramEnd"/>
      <w:r w:rsidR="002B02CE">
        <w:t xml:space="preserve"> compensação não amplia o limite de gasto estabelecido pela Emenda Constitucional, uma vez que não envolve cessão de limite de um órgão em favor de outro. O que ocorre é a redução de despesas do Poder Executivo para compensar excessos alheios, que não deixam de persistir mediante compensação. Ademais, determina o caput do art. 109 do ADCT que, no caso de descumprimento do limite individualizado, aplicam-se ao órgão diversas vedações, a exemplo da concessão de vantagem, aumento, reajuste ou adequação de remuneração ou criação ou majoração de benefícios de qualquer natureza, além de outras medidas que impliquem aumento de despesa. A aplicação de tais medidas é imediata e vai até o final do exercício financeiro em que as despesas retornem ao limite constitucional. No que se refere à emenda aprovada na Comissão de Trabalho, de Administração e Serviço Público, a sua redação é incompatível com o inciso I do § 2º do art. 100 da LDO/2019, que proíbe o aumento retroativo de gastos com pessoal.</w:t>
      </w:r>
    </w:p>
    <w:p w:rsidR="002B02CE" w:rsidRDefault="002B02CE" w:rsidP="00843A54">
      <w:pPr>
        <w:pStyle w:val="Corpo"/>
        <w:spacing w:line="240" w:lineRule="atLeast"/>
        <w:ind w:firstLine="0"/>
      </w:pPr>
    </w:p>
    <w:p w:rsidR="006562E7" w:rsidRDefault="006562E7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  <w:r w:rsidR="002B02CE">
        <w:rPr>
          <w:b/>
          <w:sz w:val="26"/>
          <w:szCs w:val="26"/>
        </w:rPr>
        <w:t xml:space="preserve"> </w:t>
      </w:r>
      <w:r w:rsidR="002B02CE">
        <w:rPr>
          <w:sz w:val="26"/>
          <w:szCs w:val="26"/>
        </w:rPr>
        <w:t xml:space="preserve">art. 169, § 1º, da CF, </w:t>
      </w:r>
      <w:r w:rsidR="002B02CE">
        <w:t>artigos 100 e 114 da LDO/2019</w:t>
      </w:r>
      <w:r w:rsidR="002B02CE">
        <w:t xml:space="preserve"> </w:t>
      </w:r>
      <w:r w:rsidR="002B02CE">
        <w:rPr>
          <w:sz w:val="26"/>
          <w:szCs w:val="26"/>
        </w:rPr>
        <w:t>e art. 109, inciso I, do ADCT.</w:t>
      </w:r>
    </w:p>
    <w:p w:rsidR="006562E7" w:rsidRDefault="006562E7" w:rsidP="00C12155">
      <w:pPr>
        <w:pStyle w:val="Corpo"/>
        <w:spacing w:line="240" w:lineRule="atLeast"/>
        <w:ind w:firstLine="0"/>
      </w:pPr>
    </w:p>
    <w:p w:rsidR="002B02CE" w:rsidRDefault="002B02CE" w:rsidP="002B02CE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t>4</w:t>
      </w:r>
      <w:r w:rsidR="00D75435" w:rsidRPr="00843A54">
        <w:rPr>
          <w:b/>
          <w:sz w:val="26"/>
          <w:szCs w:val="26"/>
        </w:rPr>
        <w:t xml:space="preserve">. </w:t>
      </w:r>
      <w:r w:rsidR="007A65C3" w:rsidRPr="00843A54">
        <w:rPr>
          <w:b/>
          <w:sz w:val="26"/>
          <w:szCs w:val="26"/>
        </w:rPr>
        <w:t>Resumo</w:t>
      </w:r>
      <w:r w:rsidR="00D75435" w:rsidRPr="00843A54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6507C">
        <w:rPr>
          <w:rFonts w:ascii="Bookman Old Style" w:hAnsi="Bookman Old Style"/>
          <w:color w:val="auto"/>
        </w:rPr>
        <w:t xml:space="preserve">tendo em vista o acima exposto, entendemos que o Projeto de </w:t>
      </w:r>
      <w:r>
        <w:rPr>
          <w:rFonts w:ascii="Bookman Old Style" w:hAnsi="Bookman Old Style"/>
          <w:color w:val="auto"/>
        </w:rPr>
        <w:t>Lei</w:t>
      </w:r>
      <w:r w:rsidRPr="0046507C">
        <w:rPr>
          <w:rFonts w:ascii="Bookman Old Style" w:hAnsi="Bookman Old Style"/>
          <w:color w:val="auto"/>
        </w:rPr>
        <w:t xml:space="preserve"> nº </w:t>
      </w:r>
      <w:r>
        <w:rPr>
          <w:rFonts w:ascii="Bookman Old Style" w:hAnsi="Bookman Old Style"/>
          <w:color w:val="auto"/>
        </w:rPr>
        <w:t>7.</w:t>
      </w:r>
      <w:r>
        <w:rPr>
          <w:rFonts w:ascii="Bookman Old Style" w:hAnsi="Bookman Old Style"/>
          <w:color w:val="auto"/>
        </w:rPr>
        <w:t>785</w:t>
      </w:r>
      <w:r>
        <w:rPr>
          <w:rFonts w:ascii="Bookman Old Style" w:hAnsi="Bookman Old Style"/>
          <w:color w:val="auto"/>
        </w:rPr>
        <w:t>/</w:t>
      </w:r>
      <w:r w:rsidRPr="0046507C">
        <w:rPr>
          <w:rFonts w:ascii="Bookman Old Style" w:hAnsi="Bookman Old Style"/>
          <w:color w:val="auto"/>
        </w:rPr>
        <w:t>201</w:t>
      </w:r>
      <w:r>
        <w:rPr>
          <w:rFonts w:ascii="Bookman Old Style" w:hAnsi="Bookman Old Style"/>
          <w:color w:val="auto"/>
        </w:rPr>
        <w:t>0</w:t>
      </w:r>
      <w:r w:rsidRPr="0046507C">
        <w:rPr>
          <w:rFonts w:ascii="Bookman Old Style" w:hAnsi="Bookman Old Style"/>
          <w:color w:val="auto"/>
        </w:rPr>
        <w:t xml:space="preserve"> deva ser considerado incompatível e inadequado do ponto de vista financeiro e orçamentário</w:t>
      </w:r>
      <w:r>
        <w:rPr>
          <w:rFonts w:ascii="Bookman Old Style" w:hAnsi="Bookman Old Style"/>
          <w:color w:val="auto"/>
        </w:rPr>
        <w:t>.</w:t>
      </w:r>
    </w:p>
    <w:p w:rsidR="006A2288" w:rsidRDefault="006A2288" w:rsidP="00C12155">
      <w:pPr>
        <w:pStyle w:val="Corpo"/>
        <w:spacing w:line="240" w:lineRule="atLeast"/>
        <w:ind w:firstLine="0"/>
        <w:rPr>
          <w:b/>
          <w:szCs w:val="24"/>
        </w:rPr>
      </w:pPr>
    </w:p>
    <w:p w:rsidR="006A2288" w:rsidRPr="00C90B3E" w:rsidRDefault="006A2288" w:rsidP="00C90B3E">
      <w:pPr>
        <w:jc w:val="both"/>
      </w:pPr>
    </w:p>
    <w:p w:rsidR="006A2288" w:rsidRDefault="00D75435">
      <w:pPr>
        <w:tabs>
          <w:tab w:val="left" w:pos="1134"/>
        </w:tabs>
        <w:spacing w:after="120"/>
        <w:jc w:val="right"/>
        <w:rPr>
          <w:rFonts w:ascii="Times New Roman" w:eastAsia="Arial" w:hAnsi="Times New Roman" w:cs="Arial"/>
          <w:szCs w:val="20"/>
          <w:lang w:eastAsia="ar-SA"/>
        </w:rPr>
      </w:pPr>
      <w:r>
        <w:rPr>
          <w:rFonts w:ascii="Times New Roman" w:eastAsia="Arial" w:hAnsi="Times New Roman" w:cs="Arial"/>
          <w:szCs w:val="20"/>
          <w:lang w:eastAsia="ar-SA"/>
        </w:rPr>
        <w:t>Brasília, 2 de Outubro de 2019.</w:t>
      </w:r>
    </w:p>
    <w:p w:rsidR="006A2288" w:rsidRDefault="006A2288">
      <w:pPr>
        <w:jc w:val="center"/>
        <w:rPr>
          <w:rFonts w:ascii="Times New Roman" w:hAnsi="Times New Roman" w:cs="Times New Roman"/>
          <w:b/>
        </w:rPr>
      </w:pPr>
    </w:p>
    <w:p w:rsidR="006A2288" w:rsidRDefault="00D7543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Sérgio Tadao Sambosuke </w:t>
      </w:r>
    </w:p>
    <w:p w:rsidR="00EC36A2" w:rsidRDefault="00EC36A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Consultor</w:t>
      </w:r>
    </w:p>
    <w:sectPr w:rsidR="00EC36A2">
      <w:headerReference w:type="default" r:id="rId8"/>
      <w:pgSz w:w="11906" w:h="16838"/>
      <w:pgMar w:top="2702" w:right="1134" w:bottom="1134" w:left="1134" w:header="1134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AF" w:rsidRDefault="00A173AF">
      <w:r>
        <w:separator/>
      </w:r>
    </w:p>
  </w:endnote>
  <w:endnote w:type="continuationSeparator" w:id="0">
    <w:p w:rsidR="00A173AF" w:rsidRDefault="00A1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AF" w:rsidRDefault="00A173AF">
      <w:r>
        <w:separator/>
      </w:r>
    </w:p>
  </w:footnote>
  <w:footnote w:type="continuationSeparator" w:id="0">
    <w:p w:rsidR="00A173AF" w:rsidRDefault="00A173AF">
      <w:r>
        <w:continuationSeparator/>
      </w:r>
    </w:p>
  </w:footnote>
  <w:footnote w:id="1">
    <w:p w:rsidR="0006757E" w:rsidRDefault="0006757E" w:rsidP="00CC78A5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="00CC78A5">
        <w:t xml:space="preserve">Solicitação de Trabalho </w:t>
      </w:r>
      <w:r w:rsidR="00386371">
        <w:t xml:space="preserve">1446/2019 </w:t>
      </w:r>
      <w:r w:rsidR="00CC78A5">
        <w:t>da</w:t>
      </w:r>
      <w:r>
        <w:t xml:space="preserve">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288" w:rsidRDefault="006A2288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11"/>
      <w:gridCol w:w="7239"/>
    </w:tblGrid>
    <w:tr w:rsidR="00FE2418" w:rsidTr="00A14321">
      <w:trPr>
        <w:trHeight w:val="733"/>
      </w:trPr>
      <w:tc>
        <w:tcPr>
          <w:tcW w:w="2511" w:type="dxa"/>
          <w:shd w:val="clear" w:color="auto" w:fill="0000FF"/>
        </w:tcPr>
        <w:p w:rsidR="00FE2418" w:rsidRDefault="00FE2418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 wp14:anchorId="58717D6E" wp14:editId="14E5BE21">
                <wp:extent cx="1564005" cy="431800"/>
                <wp:effectExtent l="0" t="0" r="0" b="0"/>
                <wp:docPr id="5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4005" cy="43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shd w:val="clear" w:color="auto" w:fill="auto"/>
          <w:tcMar>
            <w:left w:w="108" w:type="dxa"/>
            <w:right w:w="108" w:type="dxa"/>
          </w:tcMar>
          <w:vAlign w:val="center"/>
        </w:tcPr>
        <w:p w:rsidR="00FE2418" w:rsidRPr="00843A54" w:rsidRDefault="00FE2418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>INFORMATIVO DE ADEQUAÇÃO</w:t>
          </w:r>
          <w:r w:rsidR="00280F3B" w:rsidRPr="00843A54">
            <w:rPr>
              <w:rFonts w:cs="Arial"/>
              <w:color w:val="auto"/>
              <w:sz w:val="22"/>
              <w:szCs w:val="22"/>
            </w:rPr>
            <w:t xml:space="preserve"> FINANCEIRA E ORÇAMENTÁRIA</w:t>
          </w:r>
          <w:r w:rsidR="008C3584" w:rsidRPr="00843A54">
            <w:rPr>
              <w:rFonts w:cs="Arial"/>
              <w:color w:val="auto"/>
              <w:sz w:val="22"/>
              <w:szCs w:val="22"/>
            </w:rPr>
            <w:t xml:space="preserve"> Nº</w:t>
          </w:r>
          <w:r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  <w:r w:rsidR="00D1522E">
            <w:rPr>
              <w:rFonts w:cs="Arial"/>
              <w:color w:val="auto"/>
              <w:sz w:val="22"/>
              <w:szCs w:val="22"/>
            </w:rPr>
            <w:t>149/2019</w:t>
          </w:r>
          <w:r w:rsidR="00A14321"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</w:p>
      </w:tc>
    </w:tr>
  </w:tbl>
  <w:p w:rsidR="006A2288" w:rsidRDefault="006A228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288"/>
    <w:rsid w:val="00065971"/>
    <w:rsid w:val="0006757E"/>
    <w:rsid w:val="00086215"/>
    <w:rsid w:val="000A694C"/>
    <w:rsid w:val="000B06FF"/>
    <w:rsid w:val="001929F0"/>
    <w:rsid w:val="00257F6A"/>
    <w:rsid w:val="00280F3B"/>
    <w:rsid w:val="002B02CE"/>
    <w:rsid w:val="00386371"/>
    <w:rsid w:val="004E1835"/>
    <w:rsid w:val="00545A0B"/>
    <w:rsid w:val="00612977"/>
    <w:rsid w:val="006562E7"/>
    <w:rsid w:val="006A2288"/>
    <w:rsid w:val="007A65C3"/>
    <w:rsid w:val="00815AD5"/>
    <w:rsid w:val="00843A54"/>
    <w:rsid w:val="008C1EE0"/>
    <w:rsid w:val="008C3584"/>
    <w:rsid w:val="009627CB"/>
    <w:rsid w:val="00A14321"/>
    <w:rsid w:val="00A173AF"/>
    <w:rsid w:val="00B26B45"/>
    <w:rsid w:val="00B56334"/>
    <w:rsid w:val="00B87160"/>
    <w:rsid w:val="00C12155"/>
    <w:rsid w:val="00C90B3E"/>
    <w:rsid w:val="00CC78A5"/>
    <w:rsid w:val="00CD6D08"/>
    <w:rsid w:val="00D1522E"/>
    <w:rsid w:val="00D75435"/>
    <w:rsid w:val="00EC36A2"/>
    <w:rsid w:val="00EF44F7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color w:val="00000A"/>
    </w:rPr>
  </w:style>
  <w:style w:type="paragraph" w:styleId="Ttulo1">
    <w:name w:val="heading 1"/>
    <w:basedOn w:val="Ttulo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rpo">
    <w:name w:val="Corpo"/>
    <w:pPr>
      <w:suppressAutoHyphens/>
      <w:overflowPunct w:val="0"/>
      <w:ind w:firstLine="709"/>
      <w:jc w:val="both"/>
    </w:pPr>
    <w:rPr>
      <w:rFonts w:ascii="Times New Roman" w:eastAsia="Arial" w:hAnsi="Times New Roman" w:cs="Times New Roman"/>
      <w:color w:val="000000"/>
      <w:szCs w:val="20"/>
      <w:lang w:eastAsia="ar-SA" w:bidi="ar-SA"/>
    </w:rPr>
  </w:style>
  <w:style w:type="paragraph" w:styleId="PargrafodaLista">
    <w:name w:val="List Paragraph"/>
    <w:basedOn w:val="Normal"/>
    <w:pPr>
      <w:spacing w:after="200"/>
      <w:ind w:left="720"/>
      <w:contextualSpacing/>
    </w:pPr>
  </w:style>
  <w:style w:type="paragraph" w:customStyle="1" w:styleId="Corpodetexto2">
    <w:name w:val="Corpo de texto2"/>
    <w:pPr>
      <w:suppressAutoHyphens/>
      <w:overflowPunct w:val="0"/>
    </w:pPr>
    <w:rPr>
      <w:rFonts w:ascii="CG Times" w:eastAsia="Times New Roman" w:hAnsi="CG Times" w:cs="Times New Roman"/>
      <w:color w:val="000000"/>
      <w:szCs w:val="20"/>
      <w:lang w:val="en-US" w:eastAsia="pt-BR" w:bidi="ar-SA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customStyle="1" w:styleId="Ttulododocumento">
    <w:name w:val="Título do documento"/>
    <w:basedOn w:val="Ttulo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pPr>
      <w:spacing w:before="60"/>
      <w:jc w:val="center"/>
    </w:pPr>
    <w:rPr>
      <w:sz w:val="36"/>
      <w:szCs w:val="3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styleId="Cabealho">
    <w:name w:val="header"/>
    <w:basedOn w:val="Normal"/>
  </w:style>
  <w:style w:type="paragraph" w:customStyle="1" w:styleId="TabeladCabeaLinha">
    <w:name w:val="Tabela (d) Cabeça Linha"/>
    <w:pPr>
      <w:suppressAutoHyphens/>
      <w:ind w:left="57" w:right="57"/>
    </w:pPr>
    <w:rPr>
      <w:rFonts w:ascii="Arial Narrow" w:hAnsi="Arial Narrow"/>
      <w:b/>
      <w:color w:val="000000"/>
    </w:rPr>
  </w:style>
  <w:style w:type="paragraph" w:styleId="Rodap">
    <w:name w:val="footer"/>
    <w:basedOn w:val="Normal"/>
    <w:link w:val="RodapChar"/>
    <w:uiPriority w:val="99"/>
    <w:unhideWhenUsed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75435"/>
    <w:rPr>
      <w:rFonts w:cs="Mangal"/>
      <w:color w:val="00000A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14321"/>
    <w:rPr>
      <w:rFonts w:cs="Mangal"/>
      <w:color w:val="00000A"/>
      <w:sz w:val="20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A14321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757E"/>
    <w:rPr>
      <w:rFonts w:cs="Mangal"/>
      <w:color w:val="00000A"/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06757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22E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22E"/>
    <w:rPr>
      <w:rFonts w:ascii="Tahoma" w:hAnsi="Tahoma" w:cs="Mangal"/>
      <w:color w:val="00000A"/>
      <w:sz w:val="16"/>
      <w:szCs w:val="14"/>
    </w:rPr>
  </w:style>
  <w:style w:type="paragraph" w:customStyle="1" w:styleId="Estilo1">
    <w:name w:val="Estilo1"/>
    <w:basedOn w:val="Normal"/>
    <w:rsid w:val="002B02CE"/>
    <w:pPr>
      <w:widowControl/>
      <w:spacing w:after="120"/>
      <w:ind w:firstLine="709"/>
      <w:jc w:val="both"/>
    </w:pPr>
    <w:rPr>
      <w:rFonts w:ascii="Bookman Old Style" w:eastAsia="Times New Roman" w:hAnsi="Bookman Old Style" w:cs="Times New Roman"/>
      <w:color w:val="auto"/>
      <w:szCs w:val="2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color w:val="00000A"/>
    </w:rPr>
  </w:style>
  <w:style w:type="paragraph" w:styleId="Ttulo1">
    <w:name w:val="heading 1"/>
    <w:basedOn w:val="Ttulo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rpo">
    <w:name w:val="Corpo"/>
    <w:pPr>
      <w:suppressAutoHyphens/>
      <w:overflowPunct w:val="0"/>
      <w:ind w:firstLine="709"/>
      <w:jc w:val="both"/>
    </w:pPr>
    <w:rPr>
      <w:rFonts w:ascii="Times New Roman" w:eastAsia="Arial" w:hAnsi="Times New Roman" w:cs="Times New Roman"/>
      <w:color w:val="000000"/>
      <w:szCs w:val="20"/>
      <w:lang w:eastAsia="ar-SA" w:bidi="ar-SA"/>
    </w:rPr>
  </w:style>
  <w:style w:type="paragraph" w:styleId="PargrafodaLista">
    <w:name w:val="List Paragraph"/>
    <w:basedOn w:val="Normal"/>
    <w:pPr>
      <w:spacing w:after="200"/>
      <w:ind w:left="720"/>
      <w:contextualSpacing/>
    </w:pPr>
  </w:style>
  <w:style w:type="paragraph" w:customStyle="1" w:styleId="Corpodetexto2">
    <w:name w:val="Corpo de texto2"/>
    <w:pPr>
      <w:suppressAutoHyphens/>
      <w:overflowPunct w:val="0"/>
    </w:pPr>
    <w:rPr>
      <w:rFonts w:ascii="CG Times" w:eastAsia="Times New Roman" w:hAnsi="CG Times" w:cs="Times New Roman"/>
      <w:color w:val="000000"/>
      <w:szCs w:val="20"/>
      <w:lang w:val="en-US" w:eastAsia="pt-BR" w:bidi="ar-SA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customStyle="1" w:styleId="Ttulododocumento">
    <w:name w:val="Título do documento"/>
    <w:basedOn w:val="Ttulo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pPr>
      <w:spacing w:before="60"/>
      <w:jc w:val="center"/>
    </w:pPr>
    <w:rPr>
      <w:sz w:val="36"/>
      <w:szCs w:val="3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styleId="Cabealho">
    <w:name w:val="header"/>
    <w:basedOn w:val="Normal"/>
  </w:style>
  <w:style w:type="paragraph" w:customStyle="1" w:styleId="TabeladCabeaLinha">
    <w:name w:val="Tabela (d) Cabeça Linha"/>
    <w:pPr>
      <w:suppressAutoHyphens/>
      <w:ind w:left="57" w:right="57"/>
    </w:pPr>
    <w:rPr>
      <w:rFonts w:ascii="Arial Narrow" w:hAnsi="Arial Narrow"/>
      <w:b/>
      <w:color w:val="000000"/>
    </w:rPr>
  </w:style>
  <w:style w:type="paragraph" w:styleId="Rodap">
    <w:name w:val="footer"/>
    <w:basedOn w:val="Normal"/>
    <w:link w:val="RodapChar"/>
    <w:uiPriority w:val="99"/>
    <w:unhideWhenUsed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75435"/>
    <w:rPr>
      <w:rFonts w:cs="Mangal"/>
      <w:color w:val="00000A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14321"/>
    <w:rPr>
      <w:rFonts w:cs="Mangal"/>
      <w:color w:val="00000A"/>
      <w:sz w:val="20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A14321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757E"/>
    <w:rPr>
      <w:rFonts w:cs="Mangal"/>
      <w:color w:val="00000A"/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06757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22E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22E"/>
    <w:rPr>
      <w:rFonts w:ascii="Tahoma" w:hAnsi="Tahoma" w:cs="Mangal"/>
      <w:color w:val="00000A"/>
      <w:sz w:val="16"/>
      <w:szCs w:val="14"/>
    </w:rPr>
  </w:style>
  <w:style w:type="paragraph" w:customStyle="1" w:styleId="Estilo1">
    <w:name w:val="Estilo1"/>
    <w:basedOn w:val="Normal"/>
    <w:rsid w:val="002B02CE"/>
    <w:pPr>
      <w:widowControl/>
      <w:spacing w:after="120"/>
      <w:ind w:firstLine="709"/>
      <w:jc w:val="both"/>
    </w:pPr>
    <w:rPr>
      <w:rFonts w:ascii="Bookman Old Style" w:eastAsia="Times New Roman" w:hAnsi="Bookman Old Style" w:cs="Times New Roman"/>
      <w:color w:val="auto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0588-89DB-41A5-9790-2C0AE4DE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1446/2019 - P_6698 - Sérgio Tadao Sambosuke</dc:creator>
  <cp:lastModifiedBy>Sergio Tadao Sambosuke</cp:lastModifiedBy>
  <cp:revision>32</cp:revision>
  <dcterms:created xsi:type="dcterms:W3CDTF">2017-07-11T14:32:00Z</dcterms:created>
  <dcterms:modified xsi:type="dcterms:W3CDTF">2019-10-02T23:42:00Z</dcterms:modified>
  <dc:language>pt-BR</dc:language>
</cp:coreProperties>
</file>