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638"/>
      </w:tblGrid>
      <w:tr w:rsidR="006A2288">
        <w:tc>
          <w:tcPr>
            <w:tcW w:w="9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51" w:type="dxa"/>
            </w:tcMar>
          </w:tcPr>
          <w:p w:rsidR="006A2288" w:rsidRDefault="00D75435">
            <w:pPr>
              <w:pBdr>
                <w:top w:val="nil"/>
                <w:left w:val="nil"/>
                <w:bottom w:val="nil"/>
                <w:right w:val="nil"/>
              </w:pBdr>
              <w:shd w:val="clear" w:color="auto" w:fill="D9D9D9"/>
              <w:jc w:val="center"/>
              <w:rPr>
                <w:rFonts w:ascii="Times New Roman" w:hAnsi="Times New Roman" w:cs="Times New Roman"/>
                <w:b/>
                <w:shd w:val="clear" w:color="auto" w:fill="DDDDDD"/>
              </w:rPr>
            </w:pPr>
            <w:r>
              <w:rPr>
                <w:rFonts w:ascii="Times New Roman" w:hAnsi="Times New Roman" w:cs="Times New Roman"/>
                <w:b/>
                <w:caps/>
                <w:shd w:val="clear" w:color="auto" w:fill="DDDDDD"/>
              </w:rPr>
              <w:t>Projeto de Lei</w:t>
            </w:r>
            <w:r>
              <w:rPr>
                <w:rFonts w:ascii="Times New Roman" w:hAnsi="Times New Roman" w:cs="Times New Roman"/>
                <w:b/>
                <w:shd w:val="clear" w:color="auto" w:fill="DDDDDD"/>
              </w:rPr>
              <w:t xml:space="preserve"> 3.186/2020</w:t>
            </w:r>
            <w:r w:rsidR="0006757E">
              <w:rPr>
                <w:rFonts w:ascii="Times New Roman" w:hAnsi="Times New Roman" w:cs="Times New Roman"/>
                <w:b/>
                <w:shd w:val="clear" w:color="auto" w:fill="DDDDDD"/>
              </w:rPr>
              <w:t xml:space="preserve"> </w:t>
            </w:r>
            <w:r w:rsidR="0006757E">
              <w:rPr>
                <w:rStyle w:val="Refdenotaderodap"/>
                <w:rFonts w:ascii="Times New Roman" w:hAnsi="Times New Roman" w:cs="Times New Roman"/>
                <w:b/>
                <w:shd w:val="clear" w:color="auto" w:fill="DDDDDD"/>
              </w:rPr>
              <w:footnoteReference w:id="1"/>
            </w:r>
          </w:p>
          <w:p w:rsidR="00386371" w:rsidRDefault="00386371">
            <w:pPr>
              <w:pBdr>
                <w:top w:val="nil"/>
                <w:left w:val="nil"/>
                <w:bottom w:val="nil"/>
                <w:right w:val="nil"/>
              </w:pBdr>
              <w:shd w:val="clear" w:color="auto" w:fill="D9D9D9"/>
              <w:jc w:val="center"/>
              <w:rPr>
                <w:rFonts w:ascii="Times New Roman" w:hAnsi="Times New Roman" w:cs="Times New Roman"/>
                <w:b/>
                <w:shd w:val="clear" w:color="auto" w:fill="DDDDDD"/>
              </w:rPr>
            </w:pPr>
            <w:r>
              <w:rPr>
                <w:rFonts w:ascii="Times New Roman" w:hAnsi="Times New Roman" w:cs="Times New Roman"/>
                <w:b/>
                <w:shd w:val="clear" w:color="auto" w:fill="DDDDDD"/>
              </w:rPr>
              <w:t>(Apensados: PL nº 3.584/2020, PL nº 3.646/2020 e PL nº 3.803/2020</w:t>
            </w:r>
            <w:proofErr w:type="gramStart"/>
            <w:r>
              <w:rPr>
                <w:rFonts w:ascii="Times New Roman" w:hAnsi="Times New Roman" w:cs="Times New Roman"/>
                <w:b/>
                <w:shd w:val="clear" w:color="auto" w:fill="DDDDDD"/>
              </w:rPr>
              <w:t>)</w:t>
            </w:r>
            <w:proofErr w:type="gramEnd"/>
          </w:p>
        </w:tc>
      </w:tr>
    </w:tbl>
    <w:p w:rsidR="006A2288" w:rsidRDefault="006A2288"/>
    <w:p w:rsidR="006A2288" w:rsidRPr="00843A54" w:rsidRDefault="00D75435" w:rsidP="00C12155">
      <w:pPr>
        <w:pStyle w:val="Corpo"/>
        <w:spacing w:line="240" w:lineRule="atLeast"/>
        <w:ind w:firstLine="0"/>
        <w:rPr>
          <w:b/>
          <w:sz w:val="26"/>
          <w:szCs w:val="26"/>
        </w:rPr>
      </w:pPr>
      <w:r w:rsidRPr="00843A54">
        <w:rPr>
          <w:b/>
          <w:sz w:val="26"/>
          <w:szCs w:val="26"/>
        </w:rPr>
        <w:t>1. Síntese da Matéria:</w:t>
      </w:r>
    </w:p>
    <w:p w:rsidR="006A2288" w:rsidRDefault="00F71306" w:rsidP="00F71306">
      <w:pPr>
        <w:jc w:val="both"/>
      </w:pPr>
      <w:r>
        <w:t xml:space="preserve">O projeto em análise, de </w:t>
      </w:r>
      <w:r w:rsidRPr="00F71306">
        <w:t>autoria</w:t>
      </w:r>
      <w:r w:rsidR="003F7E03">
        <w:t xml:space="preserve"> dos d</w:t>
      </w:r>
      <w:r>
        <w:t>eputados A</w:t>
      </w:r>
      <w:r w:rsidR="003F7E03">
        <w:t>driana</w:t>
      </w:r>
      <w:r>
        <w:t xml:space="preserve"> V</w:t>
      </w:r>
      <w:r w:rsidR="003F7E03">
        <w:t>entura e outros</w:t>
      </w:r>
      <w:r>
        <w:t xml:space="preserve">, </w:t>
      </w:r>
      <w:r w:rsidR="003F7E03" w:rsidRPr="003F7E03">
        <w:rPr>
          <w:i/>
        </w:rPr>
        <w:t>“</w:t>
      </w:r>
      <w:r w:rsidRPr="003F7E03">
        <w:rPr>
          <w:i/>
        </w:rPr>
        <w:t xml:space="preserve">Altera a Lei nº 13.982, de </w:t>
      </w:r>
      <w:proofErr w:type="gramStart"/>
      <w:r w:rsidRPr="003F7E03">
        <w:rPr>
          <w:i/>
        </w:rPr>
        <w:t>2</w:t>
      </w:r>
      <w:proofErr w:type="gramEnd"/>
      <w:r w:rsidRPr="003F7E03">
        <w:rPr>
          <w:i/>
        </w:rPr>
        <w:t xml:space="preserve"> de abril de 2020, para aumentar em um terço as penas dos crimes  previstos nos artigos 171, 299 e 313-A, do Código Penal, quando cometidos mediante fraude ao auxílio emergencial, e determinar restituição em dobro do valor recebido</w:t>
      </w:r>
      <w:r w:rsidR="003F7E03" w:rsidRPr="003F7E03">
        <w:rPr>
          <w:i/>
        </w:rPr>
        <w:t>”</w:t>
      </w:r>
      <w:r>
        <w:t>.</w:t>
      </w:r>
      <w:r>
        <w:t xml:space="preserve"> </w:t>
      </w:r>
      <w:r>
        <w:t xml:space="preserve">Segundo a justificativa do autor, baseada em reportagem divulgada pelo portal de notícias UOL, </w:t>
      </w:r>
      <w:r w:rsidRPr="00B421F5">
        <w:t>relatório do T</w:t>
      </w:r>
      <w:r>
        <w:t>CU</w:t>
      </w:r>
      <w:r w:rsidRPr="00F71306">
        <w:t xml:space="preserve"> </w:t>
      </w:r>
      <w:r w:rsidRPr="003F7E03">
        <w:rPr>
          <w:i/>
        </w:rPr>
        <w:t>“apontou para o risco de 8,1 milhões de brasileiros terem recebido indevidamente o auxílio emergencial. Enquanto isso, outras 2,3 milhões de pessoas que cumpriam os requisitos para recebimento do benefício ficaram de fora.”</w:t>
      </w:r>
      <w:r w:rsidRPr="00F71306">
        <w:t xml:space="preserve"> </w:t>
      </w:r>
      <w:r>
        <w:t xml:space="preserve">Também, com base em notícia do Correio Braziliense, o autor informa que a Corte de Contas </w:t>
      </w:r>
      <w:r w:rsidRPr="003F7E03">
        <w:rPr>
          <w:i/>
        </w:rPr>
        <w:t>“constatou que 10% dos pagamentos realizados pelo benefício emergencial podem ter sido indevidos. Nesse sentido, segundo o Tribunal, caso não sejam solucionadas, essas fraudes podem gerar uma despesa pública indevida da ordem de R$ 3,6 bilhões para cada mês de auxílio.”</w:t>
      </w:r>
      <w:r w:rsidRPr="00F71306">
        <w:t xml:space="preserve"> </w:t>
      </w:r>
      <w:r>
        <w:t>Diante dessa situação, que revela elevado número de fraudes e impacto orçamentário relevante, a proposição buscar criar um fundamento legal para a persecução criminal de tais atos.</w:t>
      </w:r>
      <w:r>
        <w:t xml:space="preserve"> </w:t>
      </w:r>
      <w:r>
        <w:t>Ao projeto principal foram apensados</w:t>
      </w:r>
      <w:r>
        <w:t xml:space="preserve"> os </w:t>
      </w:r>
      <w:proofErr w:type="spellStart"/>
      <w:r>
        <w:t>PLs</w:t>
      </w:r>
      <w:proofErr w:type="spellEnd"/>
      <w:r>
        <w:t xml:space="preserve"> n</w:t>
      </w:r>
      <w:r w:rsidRPr="003F7E03">
        <w:rPr>
          <w:vertAlign w:val="superscript"/>
        </w:rPr>
        <w:t>os</w:t>
      </w:r>
      <w:r>
        <w:t xml:space="preserve"> </w:t>
      </w:r>
      <w:r>
        <w:t>3.584/2020, 3.646/2020</w:t>
      </w:r>
      <w:r>
        <w:t xml:space="preserve"> e </w:t>
      </w:r>
      <w:r>
        <w:t>3.803/2020</w:t>
      </w:r>
      <w:r>
        <w:t xml:space="preserve">. </w:t>
      </w:r>
      <w:r>
        <w:t>O projeto tramita em regime o</w:t>
      </w:r>
      <w:r w:rsidRPr="003511CB">
        <w:t>rdinári</w:t>
      </w:r>
      <w:r>
        <w:t>o</w:t>
      </w:r>
      <w:r w:rsidRPr="003511CB">
        <w:t xml:space="preserve"> (</w:t>
      </w:r>
      <w:r>
        <w:t>a</w:t>
      </w:r>
      <w:r w:rsidRPr="003511CB">
        <w:t>rt. 151, III, RICD)</w:t>
      </w:r>
      <w:r>
        <w:t xml:space="preserve"> e está sujeito à</w:t>
      </w:r>
      <w:r w:rsidRPr="00E500C1">
        <w:t xml:space="preserve"> </w:t>
      </w:r>
      <w:r w:rsidRPr="003511CB">
        <w:t>apreciação do Plenário</w:t>
      </w:r>
      <w:r>
        <w:t>, tendo sido distribuído às Comissões de Seguridade Social e Família (CSSF), de Finanças e Tributação (CFT) e de Constituição e Justiça e de Cidadania (CCJC), nessa ordem.</w:t>
      </w:r>
      <w:r>
        <w:t xml:space="preserve"> </w:t>
      </w:r>
      <w:r>
        <w:t xml:space="preserve">Na Comissão de Seguridade Social e Família, a proposição principal (PL nº 3.186/2020) e os apensados </w:t>
      </w:r>
      <w:proofErr w:type="spellStart"/>
      <w:r>
        <w:t>PLs</w:t>
      </w:r>
      <w:proofErr w:type="spellEnd"/>
      <w:r>
        <w:t xml:space="preserve"> n</w:t>
      </w:r>
      <w:r w:rsidRPr="00DD6135">
        <w:rPr>
          <w:vertAlign w:val="superscript"/>
        </w:rPr>
        <w:t>os</w:t>
      </w:r>
      <w:r>
        <w:t xml:space="preserve"> 3.646/2020 e 3.803/2020 foram aprovados com substitutivo e o PL nº 3.584/2020 (apensado) foi rejeitado.</w:t>
      </w:r>
      <w:r>
        <w:t xml:space="preserve"> </w:t>
      </w:r>
      <w:r>
        <w:t>O projeto vem a esta Comissão de Finanças e Tributação para manifestação quanto à compatibilidade e adequação financeira e orçamentária e quanto ao mérito.</w:t>
      </w:r>
      <w:r>
        <w:t xml:space="preserve"> </w:t>
      </w:r>
      <w:r w:rsidRPr="00ED74CF">
        <w:t>Não foi aberto prazo de emendas nesta Comissão, por se tratar de matéria sujeita à deliberação do Plenário (art. 120 do RICD).</w:t>
      </w:r>
    </w:p>
    <w:p w:rsidR="000B06FF" w:rsidRDefault="000B06FF" w:rsidP="00C12155">
      <w:pPr>
        <w:jc w:val="both"/>
      </w:pPr>
    </w:p>
    <w:p w:rsidR="000B06FF" w:rsidRDefault="000B06FF" w:rsidP="00843A54">
      <w:pPr>
        <w:pStyle w:val="Corpo"/>
        <w:spacing w:line="240" w:lineRule="atLeast"/>
        <w:ind w:firstLine="0"/>
      </w:pPr>
      <w:r w:rsidRPr="00843A54">
        <w:rPr>
          <w:b/>
          <w:sz w:val="26"/>
          <w:szCs w:val="26"/>
        </w:rPr>
        <w:t>2. Análise:</w:t>
      </w:r>
    </w:p>
    <w:p w:rsidR="006A2288" w:rsidRDefault="00F71306" w:rsidP="00EF44F7">
      <w:pPr>
        <w:jc w:val="both"/>
      </w:pPr>
      <w:r>
        <w:t>A</w:t>
      </w:r>
      <w:r>
        <w:t xml:space="preserve"> proposição principal (PL nº 3.186/2020), os </w:t>
      </w:r>
      <w:proofErr w:type="spellStart"/>
      <w:r>
        <w:t>PLs</w:t>
      </w:r>
      <w:proofErr w:type="spellEnd"/>
      <w:r>
        <w:t xml:space="preserve"> n</w:t>
      </w:r>
      <w:r>
        <w:rPr>
          <w:vertAlign w:val="superscript"/>
        </w:rPr>
        <w:t>os</w:t>
      </w:r>
      <w:r>
        <w:t xml:space="preserve"> 3.646/2020 e 3.803/20202, bem como o substitutivo adotado na CSSF </w:t>
      </w:r>
      <w:proofErr w:type="gramStart"/>
      <w:r w:rsidRPr="00441486">
        <w:t>contempla</w:t>
      </w:r>
      <w:r>
        <w:t>m</w:t>
      </w:r>
      <w:proofErr w:type="gramEnd"/>
      <w:r w:rsidRPr="00441486">
        <w:t xml:space="preserve"> matéria de caráter essencialmente normativo, não acarretando repercussão imediata direta ou indireta na receita ou na despesa da União</w:t>
      </w:r>
      <w:r>
        <w:t xml:space="preserve">. Elas </w:t>
      </w:r>
      <w:r>
        <w:t>visam tipificar situações que representam fraude e má-fé na percepção do auxílio emergencial de modo a permitir a devida punição. Nesses casos, portanto, não cabe manifestação desta comissão sobre a adequação orçamentária e financeira.</w:t>
      </w:r>
      <w:r>
        <w:t xml:space="preserve"> </w:t>
      </w:r>
      <w:r>
        <w:t>No tocante ao PL nº 3.584/2020 (apensado), entendemos que a proposição se revela inadequada, orçamentaria e financeiramente, uma vez que alarga o rol de beneficiários do auxílio emergencial sem que esteja acompanhada da necessária estimativa do impacto orçamentário e financeiro (art. 113 do ADCT e art. 16 da LRF).</w:t>
      </w:r>
    </w:p>
    <w:p w:rsidR="009627CB" w:rsidRPr="00C90B3E" w:rsidRDefault="009627CB" w:rsidP="00EF44F7">
      <w:pPr>
        <w:jc w:val="both"/>
      </w:pPr>
    </w:p>
    <w:p w:rsidR="006562E7" w:rsidRDefault="006562E7" w:rsidP="00C12155">
      <w:pPr>
        <w:pStyle w:val="Corpo"/>
        <w:spacing w:line="240" w:lineRule="atLeast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>3. Dispositivos Infringidos:</w:t>
      </w:r>
    </w:p>
    <w:p w:rsidR="006562E7" w:rsidRDefault="00D25C3B" w:rsidP="00C12155">
      <w:pPr>
        <w:pStyle w:val="Corpo"/>
        <w:spacing w:line="240" w:lineRule="atLeast"/>
        <w:ind w:firstLine="0"/>
      </w:pPr>
      <w:r>
        <w:t>Não há, exceto quanto ao PL</w:t>
      </w:r>
      <w:r w:rsidR="00DD6135">
        <w:t xml:space="preserve"> nº</w:t>
      </w:r>
      <w:r>
        <w:t xml:space="preserve"> 3.584/2020, que infringe o art. 113 do ADCT e o art. 16 da LRF </w:t>
      </w:r>
      <w:proofErr w:type="gramStart"/>
      <w:r>
        <w:t>(Lei Complementar nº 101/2000.</w:t>
      </w:r>
      <w:proofErr w:type="gramEnd"/>
    </w:p>
    <w:p w:rsidR="006562E7" w:rsidRDefault="006562E7" w:rsidP="00C12155">
      <w:pPr>
        <w:pStyle w:val="Corpo"/>
        <w:spacing w:line="240" w:lineRule="atLeast"/>
        <w:ind w:firstLine="0"/>
        <w:rPr>
          <w:b/>
          <w:sz w:val="26"/>
          <w:szCs w:val="26"/>
        </w:rPr>
      </w:pPr>
    </w:p>
    <w:p w:rsidR="00D25C3B" w:rsidRDefault="00D25C3B" w:rsidP="00C12155">
      <w:pPr>
        <w:pStyle w:val="Corpo"/>
        <w:spacing w:line="240" w:lineRule="atLeast"/>
        <w:ind w:firstLine="0"/>
        <w:rPr>
          <w:b/>
          <w:sz w:val="26"/>
          <w:szCs w:val="26"/>
        </w:rPr>
      </w:pPr>
    </w:p>
    <w:p w:rsidR="006A2288" w:rsidRDefault="004151BA" w:rsidP="00C12155">
      <w:pPr>
        <w:pStyle w:val="Corpo"/>
        <w:spacing w:line="240" w:lineRule="atLeast"/>
        <w:ind w:firstLine="0"/>
        <w:rPr>
          <w:b/>
          <w:szCs w:val="24"/>
        </w:rPr>
      </w:pPr>
      <w:r>
        <w:rPr>
          <w:b/>
          <w:sz w:val="26"/>
          <w:szCs w:val="26"/>
        </w:rPr>
        <w:lastRenderedPageBreak/>
        <w:t>4</w:t>
      </w:r>
      <w:r w:rsidR="00D75435" w:rsidRPr="00843A54">
        <w:rPr>
          <w:b/>
          <w:sz w:val="26"/>
          <w:szCs w:val="26"/>
        </w:rPr>
        <w:t xml:space="preserve">. </w:t>
      </w:r>
      <w:r w:rsidR="007A65C3" w:rsidRPr="00843A54">
        <w:rPr>
          <w:b/>
          <w:sz w:val="26"/>
          <w:szCs w:val="26"/>
        </w:rPr>
        <w:t>Resumo</w:t>
      </w:r>
      <w:r w:rsidR="00D75435" w:rsidRPr="00843A54">
        <w:rPr>
          <w:b/>
          <w:sz w:val="26"/>
          <w:szCs w:val="26"/>
        </w:rPr>
        <w:t>:</w:t>
      </w:r>
    </w:p>
    <w:p w:rsidR="006A2288" w:rsidRPr="00C90B3E" w:rsidRDefault="00D25C3B" w:rsidP="00EF44F7">
      <w:pPr>
        <w:jc w:val="both"/>
      </w:pPr>
      <w:r>
        <w:t>O</w:t>
      </w:r>
      <w:r w:rsidRPr="00687410">
        <w:t xml:space="preserve"> </w:t>
      </w:r>
      <w:r>
        <w:t>PL nº 3.186</w:t>
      </w:r>
      <w:r>
        <w:t xml:space="preserve">/2020, </w:t>
      </w:r>
      <w:r>
        <w:t xml:space="preserve">os apensados </w:t>
      </w:r>
      <w:proofErr w:type="spellStart"/>
      <w:r>
        <w:t>PLs</w:t>
      </w:r>
      <w:proofErr w:type="spellEnd"/>
      <w:r>
        <w:t xml:space="preserve"> n</w:t>
      </w:r>
      <w:r>
        <w:rPr>
          <w:vertAlign w:val="superscript"/>
        </w:rPr>
        <w:t xml:space="preserve">os </w:t>
      </w:r>
      <w:r>
        <w:t>3.646/2020 e 3.803/2020, bem como do substitutivo adotado na CSSF</w:t>
      </w:r>
      <w:r w:rsidRPr="00687410">
        <w:t xml:space="preserve"> </w:t>
      </w:r>
      <w:r w:rsidRPr="00687410">
        <w:t>não</w:t>
      </w:r>
      <w:r>
        <w:t xml:space="preserve"> apresentam</w:t>
      </w:r>
      <w:r w:rsidRPr="00687410">
        <w:t xml:space="preserve"> implicação financeira ou orçamentária da matéria em aumento ou diminuição da receita e da despesa pública, não cabendo pronunciamento quanto à adequação financeira ou orçamentária</w:t>
      </w:r>
      <w:r w:rsidR="00DD0A2B">
        <w:t xml:space="preserve">. Quanto ao </w:t>
      </w:r>
      <w:r w:rsidR="00DD0A2B">
        <w:t>PL nº 3.584/2020 (apensado)</w:t>
      </w:r>
      <w:r w:rsidR="00DD0A2B">
        <w:t xml:space="preserve">, entendemos que a proposição é </w:t>
      </w:r>
      <w:r>
        <w:t>inadequa</w:t>
      </w:r>
      <w:r w:rsidR="00DD0A2B">
        <w:t>da</w:t>
      </w:r>
      <w:r>
        <w:t xml:space="preserve"> orçamentária e financeira</w:t>
      </w:r>
      <w:r w:rsidR="00DD0A2B">
        <w:t>mente.</w:t>
      </w:r>
    </w:p>
    <w:p w:rsidR="006A2288" w:rsidRPr="00C90B3E" w:rsidRDefault="006A2288" w:rsidP="00C90B3E">
      <w:pPr>
        <w:jc w:val="both"/>
      </w:pPr>
    </w:p>
    <w:p w:rsidR="006A2288" w:rsidRDefault="00D75435">
      <w:pPr>
        <w:tabs>
          <w:tab w:val="left" w:pos="1134"/>
        </w:tabs>
        <w:spacing w:after="120"/>
        <w:jc w:val="right"/>
        <w:rPr>
          <w:rFonts w:ascii="Times New Roman" w:eastAsia="Arial" w:hAnsi="Times New Roman" w:cs="Arial"/>
          <w:szCs w:val="20"/>
          <w:lang w:eastAsia="ar-SA"/>
        </w:rPr>
      </w:pPr>
      <w:r>
        <w:rPr>
          <w:rFonts w:ascii="Times New Roman" w:eastAsia="Arial" w:hAnsi="Times New Roman" w:cs="Arial"/>
          <w:szCs w:val="20"/>
          <w:lang w:eastAsia="ar-SA"/>
        </w:rPr>
        <w:t xml:space="preserve">Brasília, </w:t>
      </w:r>
      <w:proofErr w:type="gramStart"/>
      <w:r>
        <w:rPr>
          <w:rFonts w:ascii="Times New Roman" w:eastAsia="Arial" w:hAnsi="Times New Roman" w:cs="Arial"/>
          <w:szCs w:val="20"/>
          <w:lang w:eastAsia="ar-SA"/>
        </w:rPr>
        <w:t>1</w:t>
      </w:r>
      <w:proofErr w:type="gramEnd"/>
      <w:r>
        <w:rPr>
          <w:rFonts w:ascii="Times New Roman" w:eastAsia="Arial" w:hAnsi="Times New Roman" w:cs="Arial"/>
          <w:szCs w:val="20"/>
          <w:lang w:eastAsia="ar-SA"/>
        </w:rPr>
        <w:t xml:space="preserve"> de agosto de 2022.</w:t>
      </w:r>
    </w:p>
    <w:p w:rsidR="006A2288" w:rsidRDefault="006A2288">
      <w:pPr>
        <w:jc w:val="center"/>
        <w:rPr>
          <w:rFonts w:ascii="Times New Roman" w:hAnsi="Times New Roman" w:cs="Times New Roman"/>
          <w:b/>
        </w:rPr>
      </w:pPr>
    </w:p>
    <w:p w:rsidR="00E07718" w:rsidRDefault="00E07718" w:rsidP="00E07718">
      <w:pPr>
        <w:jc w:val="center"/>
        <w:rPr>
          <w:rFonts w:cs="Arial"/>
          <w:b/>
        </w:rPr>
      </w:pPr>
      <w:r w:rsidRPr="00100EF1">
        <w:rPr>
          <w:rFonts w:cs="Arial"/>
          <w:b/>
        </w:rPr>
        <w:t>Túlio Cambraia</w:t>
      </w:r>
    </w:p>
    <w:p w:rsidR="006A2288" w:rsidRDefault="00EC245D" w:rsidP="00E07718">
      <w:pPr>
        <w:jc w:val="center"/>
        <w:rPr>
          <w:rFonts w:ascii="Times New Roman" w:hAnsi="Times New Roman" w:cs="Times New Roman"/>
          <w:b/>
        </w:rPr>
      </w:pPr>
      <w:r w:rsidRPr="00DD0A2B">
        <w:rPr>
          <w:rFonts w:cs="Arial"/>
        </w:rPr>
        <w:t>Consultor</w:t>
      </w:r>
      <w:bookmarkStart w:id="0" w:name="_GoBack"/>
      <w:bookmarkEnd w:id="0"/>
      <w:r w:rsidR="00E07718">
        <w:rPr>
          <w:rFonts w:cs="Arial"/>
        </w:rPr>
        <w:t xml:space="preserve"> de Orçamento e Fiscalização Financeira</w:t>
      </w:r>
    </w:p>
    <w:sectPr w:rsidR="006A2288" w:rsidSect="00D87395">
      <w:headerReference w:type="default" r:id="rId9"/>
      <w:pgSz w:w="11906" w:h="16838"/>
      <w:pgMar w:top="2702" w:right="1134" w:bottom="1134" w:left="1134" w:header="1134" w:footer="0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9E9" w:rsidRDefault="00DD09E9">
      <w:r>
        <w:separator/>
      </w:r>
    </w:p>
  </w:endnote>
  <w:endnote w:type="continuationSeparator" w:id="0">
    <w:p w:rsidR="00DD09E9" w:rsidRDefault="00DD0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9E9" w:rsidRDefault="00DD09E9">
      <w:r>
        <w:separator/>
      </w:r>
    </w:p>
  </w:footnote>
  <w:footnote w:type="continuationSeparator" w:id="0">
    <w:p w:rsidR="00DD09E9" w:rsidRDefault="00DD09E9">
      <w:r>
        <w:continuationSeparator/>
      </w:r>
    </w:p>
  </w:footnote>
  <w:footnote w:id="1">
    <w:p w:rsidR="0006757E" w:rsidRDefault="0006757E" w:rsidP="00CC78A5">
      <w:pPr>
        <w:pStyle w:val="Textodenotaderodap"/>
        <w:jc w:val="both"/>
      </w:pPr>
      <w:r>
        <w:rPr>
          <w:rStyle w:val="Refdenotaderodap"/>
        </w:rPr>
        <w:footnoteRef/>
      </w:r>
      <w:r>
        <w:t xml:space="preserve"> </w:t>
      </w:r>
      <w:r w:rsidR="00CC78A5">
        <w:t xml:space="preserve">Solicitação de Trabalho </w:t>
      </w:r>
      <w:r w:rsidR="00907592">
        <w:t>da</w:t>
      </w:r>
      <w:r>
        <w:t xml:space="preserve"> Secretaria da Comissão de Finanças e Tributação para atender ao disposto no art. 10-A da Norma Interna da CFT.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288" w:rsidRDefault="006A2288">
    <w:pPr>
      <w:pStyle w:val="Cabealho"/>
    </w:pPr>
  </w:p>
  <w:tbl>
    <w:tblPr>
      <w:tblW w:w="0" w:type="auto"/>
      <w:tblInd w:w="-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11"/>
      <w:gridCol w:w="7239"/>
    </w:tblGrid>
    <w:tr w:rsidR="00FE2418" w:rsidTr="00A14321">
      <w:trPr>
        <w:trHeight w:val="733"/>
      </w:trPr>
      <w:tc>
        <w:tcPr>
          <w:tcW w:w="2511" w:type="dxa"/>
          <w:shd w:val="clear" w:color="auto" w:fill="0000FF"/>
        </w:tcPr>
        <w:p w:rsidR="00FE2418" w:rsidRDefault="00FE2418">
          <w:pPr>
            <w:pStyle w:val="TabeladCabeaLinha"/>
            <w:ind w:left="0" w:right="0"/>
            <w:jc w:val="both"/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564005" cy="431800"/>
                <wp:effectExtent l="0" t="0" r="0" b="0"/>
                <wp:docPr id="5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4005" cy="431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9" w:type="dxa"/>
          <w:shd w:val="clear" w:color="auto" w:fill="auto"/>
          <w:tcMar>
            <w:left w:w="108" w:type="dxa"/>
            <w:right w:w="108" w:type="dxa"/>
          </w:tcMar>
          <w:vAlign w:val="center"/>
        </w:tcPr>
        <w:p w:rsidR="00FE2418" w:rsidRPr="00843A54" w:rsidRDefault="00FE2418" w:rsidP="00280F3B">
          <w:pPr>
            <w:pStyle w:val="TabeladCabeaLinha"/>
            <w:ind w:left="0"/>
            <w:jc w:val="center"/>
            <w:rPr>
              <w:rFonts w:cs="Arial"/>
              <w:color w:val="FFFFFF"/>
              <w:sz w:val="22"/>
              <w:szCs w:val="22"/>
            </w:rPr>
          </w:pPr>
          <w:r w:rsidRPr="00843A54">
            <w:rPr>
              <w:rFonts w:cs="Arial"/>
              <w:color w:val="auto"/>
              <w:sz w:val="22"/>
              <w:szCs w:val="22"/>
            </w:rPr>
            <w:t>INFORMATIVO DE ADEQUAÇÃO</w:t>
          </w:r>
          <w:r w:rsidR="00280F3B" w:rsidRPr="00843A54">
            <w:rPr>
              <w:rFonts w:cs="Arial"/>
              <w:color w:val="auto"/>
              <w:sz w:val="22"/>
              <w:szCs w:val="22"/>
            </w:rPr>
            <w:t xml:space="preserve"> FINANCEIRA E ORÇAMENTÁRIA</w:t>
          </w:r>
          <w:r w:rsidR="008C3584" w:rsidRPr="00843A54">
            <w:rPr>
              <w:rFonts w:cs="Arial"/>
              <w:color w:val="auto"/>
              <w:sz w:val="22"/>
              <w:szCs w:val="22"/>
            </w:rPr>
            <w:t xml:space="preserve"> Nº</w:t>
          </w:r>
          <w:r w:rsidRPr="00843A54">
            <w:rPr>
              <w:rFonts w:cs="Arial"/>
              <w:color w:val="auto"/>
              <w:sz w:val="22"/>
              <w:szCs w:val="22"/>
            </w:rPr>
            <w:t xml:space="preserve"> </w:t>
          </w:r>
          <w:r w:rsidR="00DD0A2B">
            <w:rPr>
              <w:rFonts w:cs="Arial"/>
              <w:color w:val="auto"/>
              <w:sz w:val="22"/>
              <w:szCs w:val="22"/>
            </w:rPr>
            <w:t>128/2022</w:t>
          </w:r>
        </w:p>
      </w:tc>
    </w:tr>
  </w:tbl>
  <w:p w:rsidR="006A2288" w:rsidRDefault="006A228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734033"/>
    <w:multiLevelType w:val="hybridMultilevel"/>
    <w:tmpl w:val="5F8C07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288"/>
    <w:rsid w:val="00065971"/>
    <w:rsid w:val="0006757E"/>
    <w:rsid w:val="000A694C"/>
    <w:rsid w:val="000B06FF"/>
    <w:rsid w:val="001929F0"/>
    <w:rsid w:val="001A2EE7"/>
    <w:rsid w:val="00257F6A"/>
    <w:rsid w:val="00280F3B"/>
    <w:rsid w:val="00386371"/>
    <w:rsid w:val="003F7E03"/>
    <w:rsid w:val="004151BA"/>
    <w:rsid w:val="004E1835"/>
    <w:rsid w:val="00545A0B"/>
    <w:rsid w:val="00612977"/>
    <w:rsid w:val="006562E7"/>
    <w:rsid w:val="006A2288"/>
    <w:rsid w:val="007A65C3"/>
    <w:rsid w:val="007B49A6"/>
    <w:rsid w:val="00815AD5"/>
    <w:rsid w:val="00843A54"/>
    <w:rsid w:val="0088650D"/>
    <w:rsid w:val="008C1EE0"/>
    <w:rsid w:val="008C3584"/>
    <w:rsid w:val="00907592"/>
    <w:rsid w:val="009627CB"/>
    <w:rsid w:val="00A14321"/>
    <w:rsid w:val="00A173AF"/>
    <w:rsid w:val="00B26B45"/>
    <w:rsid w:val="00B56334"/>
    <w:rsid w:val="00C12155"/>
    <w:rsid w:val="00C90B3E"/>
    <w:rsid w:val="00CC78A5"/>
    <w:rsid w:val="00CD6D08"/>
    <w:rsid w:val="00D25C3B"/>
    <w:rsid w:val="00D75435"/>
    <w:rsid w:val="00D87395"/>
    <w:rsid w:val="00DD09E9"/>
    <w:rsid w:val="00DD0A2B"/>
    <w:rsid w:val="00DD1392"/>
    <w:rsid w:val="00DD6135"/>
    <w:rsid w:val="00E07718"/>
    <w:rsid w:val="00EC245D"/>
    <w:rsid w:val="00EF44F7"/>
    <w:rsid w:val="00F71306"/>
    <w:rsid w:val="00FE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Droid Sans Fallback" w:hAnsi="Liberation Serif" w:cs="FreeSans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</w:pPr>
    <w:rPr>
      <w:color w:val="00000A"/>
    </w:rPr>
  </w:style>
  <w:style w:type="paragraph" w:styleId="Ttulo1">
    <w:name w:val="heading 1"/>
    <w:basedOn w:val="Ttulo"/>
    <w:pPr>
      <w:outlineLvl w:val="0"/>
    </w:pPr>
    <w:rPr>
      <w:b/>
      <w:bCs/>
      <w:sz w:val="36"/>
      <w:szCs w:val="36"/>
    </w:rPr>
  </w:style>
  <w:style w:type="paragraph" w:styleId="Ttulo2">
    <w:name w:val="heading 2"/>
    <w:basedOn w:val="Ttulo"/>
    <w:p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Ttulo"/>
    <w:pPr>
      <w:spacing w:before="140"/>
      <w:outlineLvl w:val="2"/>
    </w:pPr>
    <w:rPr>
      <w:b/>
      <w:bCs/>
      <w:color w:val="8080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otexto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orpo">
    <w:name w:val="Corpo"/>
    <w:pPr>
      <w:suppressAutoHyphens/>
      <w:overflowPunct w:val="0"/>
      <w:ind w:firstLine="709"/>
      <w:jc w:val="both"/>
    </w:pPr>
    <w:rPr>
      <w:rFonts w:ascii="Times New Roman" w:eastAsia="Arial" w:hAnsi="Times New Roman" w:cs="Times New Roman"/>
      <w:color w:val="000000"/>
      <w:szCs w:val="20"/>
      <w:lang w:eastAsia="ar-SA" w:bidi="ar-SA"/>
    </w:rPr>
  </w:style>
  <w:style w:type="paragraph" w:styleId="PargrafodaLista">
    <w:name w:val="List Paragraph"/>
    <w:basedOn w:val="Normal"/>
    <w:pPr>
      <w:spacing w:after="200"/>
      <w:ind w:left="720"/>
      <w:contextualSpacing/>
    </w:pPr>
  </w:style>
  <w:style w:type="paragraph" w:customStyle="1" w:styleId="Corpodetexto2">
    <w:name w:val="Corpo de texto2"/>
    <w:pPr>
      <w:suppressAutoHyphens/>
      <w:overflowPunct w:val="0"/>
    </w:pPr>
    <w:rPr>
      <w:rFonts w:ascii="CG Times" w:eastAsia="Times New Roman" w:hAnsi="CG Times" w:cs="Times New Roman"/>
      <w:color w:val="000000"/>
      <w:szCs w:val="20"/>
      <w:lang w:val="en-US" w:eastAsia="pt-BR" w:bidi="ar-SA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customStyle="1" w:styleId="Ttulododocumento">
    <w:name w:val="Título do documento"/>
    <w:basedOn w:val="Ttulo"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Ttulo"/>
    <w:pPr>
      <w:spacing w:before="60"/>
      <w:jc w:val="center"/>
    </w:pPr>
    <w:rPr>
      <w:sz w:val="36"/>
      <w:szCs w:val="3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styleId="Cabealho">
    <w:name w:val="header"/>
    <w:basedOn w:val="Normal"/>
  </w:style>
  <w:style w:type="paragraph" w:customStyle="1" w:styleId="TabeladCabeaLinha">
    <w:name w:val="Tabela (d) Cabeça Linha"/>
    <w:pPr>
      <w:suppressAutoHyphens/>
      <w:ind w:left="57" w:right="57"/>
    </w:pPr>
    <w:rPr>
      <w:rFonts w:ascii="Arial Narrow" w:hAnsi="Arial Narrow"/>
      <w:b/>
      <w:color w:val="000000"/>
    </w:rPr>
  </w:style>
  <w:style w:type="paragraph" w:styleId="Rodap">
    <w:name w:val="footer"/>
    <w:basedOn w:val="Normal"/>
    <w:link w:val="RodapChar"/>
    <w:uiPriority w:val="99"/>
    <w:unhideWhenUsed/>
    <w:rsid w:val="00D75435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D75435"/>
    <w:rPr>
      <w:rFonts w:cs="Mangal"/>
      <w:color w:val="00000A"/>
      <w:szCs w:val="21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A14321"/>
    <w:rPr>
      <w:rFonts w:cs="Mangal"/>
      <w:sz w:val="20"/>
      <w:szCs w:val="18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A14321"/>
    <w:rPr>
      <w:rFonts w:cs="Mangal"/>
      <w:color w:val="00000A"/>
      <w:sz w:val="20"/>
      <w:szCs w:val="18"/>
    </w:rPr>
  </w:style>
  <w:style w:type="character" w:styleId="Refdenotadefim">
    <w:name w:val="endnote reference"/>
    <w:basedOn w:val="Fontepargpadro"/>
    <w:uiPriority w:val="99"/>
    <w:semiHidden/>
    <w:unhideWhenUsed/>
    <w:rsid w:val="00A14321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6757E"/>
    <w:rPr>
      <w:rFonts w:cs="Mangal"/>
      <w:sz w:val="20"/>
      <w:szCs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6757E"/>
    <w:rPr>
      <w:rFonts w:cs="Mangal"/>
      <w:color w:val="00000A"/>
      <w:sz w:val="20"/>
      <w:szCs w:val="18"/>
    </w:rPr>
  </w:style>
  <w:style w:type="character" w:styleId="Refdenotaderodap">
    <w:name w:val="footnote reference"/>
    <w:basedOn w:val="Fontepargpadro"/>
    <w:uiPriority w:val="99"/>
    <w:semiHidden/>
    <w:unhideWhenUsed/>
    <w:rsid w:val="0006757E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51B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51BA"/>
    <w:rPr>
      <w:rFonts w:ascii="Tahoma" w:hAnsi="Tahoma" w:cs="Mangal"/>
      <w:color w:val="00000A"/>
      <w:sz w:val="16"/>
      <w:szCs w:val="14"/>
    </w:rPr>
  </w:style>
  <w:style w:type="character" w:customStyle="1" w:styleId="TextoPargrafoChar">
    <w:name w:val="Texto Parágrafo Char"/>
    <w:link w:val="TextoPargrafo"/>
    <w:rsid w:val="00F71306"/>
    <w:rPr>
      <w:rFonts w:ascii="Arial" w:hAnsi="Arial"/>
    </w:rPr>
  </w:style>
  <w:style w:type="character" w:styleId="RefernciaSutil">
    <w:name w:val="Subtle Reference"/>
    <w:uiPriority w:val="31"/>
    <w:rsid w:val="00F71306"/>
  </w:style>
  <w:style w:type="paragraph" w:customStyle="1" w:styleId="TextoPargrafo">
    <w:name w:val="Texto Parágrafo"/>
    <w:basedOn w:val="Normal"/>
    <w:link w:val="TextoPargrafoChar"/>
    <w:qFormat/>
    <w:rsid w:val="00F71306"/>
    <w:pPr>
      <w:widowControl/>
      <w:spacing w:before="80" w:after="80" w:line="360" w:lineRule="auto"/>
      <w:ind w:firstLine="1134"/>
      <w:jc w:val="both"/>
    </w:pPr>
    <w:rPr>
      <w:rFonts w:ascii="Arial" w:hAnsi="Arial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Droid Sans Fallback" w:hAnsi="Liberation Serif" w:cs="FreeSans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</w:pPr>
    <w:rPr>
      <w:color w:val="00000A"/>
    </w:rPr>
  </w:style>
  <w:style w:type="paragraph" w:styleId="Ttulo1">
    <w:name w:val="heading 1"/>
    <w:basedOn w:val="Ttulo"/>
    <w:pPr>
      <w:outlineLvl w:val="0"/>
    </w:pPr>
    <w:rPr>
      <w:b/>
      <w:bCs/>
      <w:sz w:val="36"/>
      <w:szCs w:val="36"/>
    </w:rPr>
  </w:style>
  <w:style w:type="paragraph" w:styleId="Ttulo2">
    <w:name w:val="heading 2"/>
    <w:basedOn w:val="Ttulo"/>
    <w:p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Ttulo"/>
    <w:pPr>
      <w:spacing w:before="140"/>
      <w:outlineLvl w:val="2"/>
    </w:pPr>
    <w:rPr>
      <w:b/>
      <w:bCs/>
      <w:color w:val="8080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otexto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orpo">
    <w:name w:val="Corpo"/>
    <w:pPr>
      <w:suppressAutoHyphens/>
      <w:overflowPunct w:val="0"/>
      <w:ind w:firstLine="709"/>
      <w:jc w:val="both"/>
    </w:pPr>
    <w:rPr>
      <w:rFonts w:ascii="Times New Roman" w:eastAsia="Arial" w:hAnsi="Times New Roman" w:cs="Times New Roman"/>
      <w:color w:val="000000"/>
      <w:szCs w:val="20"/>
      <w:lang w:eastAsia="ar-SA" w:bidi="ar-SA"/>
    </w:rPr>
  </w:style>
  <w:style w:type="paragraph" w:styleId="PargrafodaLista">
    <w:name w:val="List Paragraph"/>
    <w:basedOn w:val="Normal"/>
    <w:pPr>
      <w:spacing w:after="200"/>
      <w:ind w:left="720"/>
      <w:contextualSpacing/>
    </w:pPr>
  </w:style>
  <w:style w:type="paragraph" w:customStyle="1" w:styleId="Corpodetexto2">
    <w:name w:val="Corpo de texto2"/>
    <w:pPr>
      <w:suppressAutoHyphens/>
      <w:overflowPunct w:val="0"/>
    </w:pPr>
    <w:rPr>
      <w:rFonts w:ascii="CG Times" w:eastAsia="Times New Roman" w:hAnsi="CG Times" w:cs="Times New Roman"/>
      <w:color w:val="000000"/>
      <w:szCs w:val="20"/>
      <w:lang w:val="en-US" w:eastAsia="pt-BR" w:bidi="ar-SA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customStyle="1" w:styleId="Ttulododocumento">
    <w:name w:val="Título do documento"/>
    <w:basedOn w:val="Ttulo"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Ttulo"/>
    <w:pPr>
      <w:spacing w:before="60"/>
      <w:jc w:val="center"/>
    </w:pPr>
    <w:rPr>
      <w:sz w:val="36"/>
      <w:szCs w:val="3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styleId="Cabealho">
    <w:name w:val="header"/>
    <w:basedOn w:val="Normal"/>
  </w:style>
  <w:style w:type="paragraph" w:customStyle="1" w:styleId="TabeladCabeaLinha">
    <w:name w:val="Tabela (d) Cabeça Linha"/>
    <w:pPr>
      <w:suppressAutoHyphens/>
      <w:ind w:left="57" w:right="57"/>
    </w:pPr>
    <w:rPr>
      <w:rFonts w:ascii="Arial Narrow" w:hAnsi="Arial Narrow"/>
      <w:b/>
      <w:color w:val="000000"/>
    </w:rPr>
  </w:style>
  <w:style w:type="paragraph" w:styleId="Rodap">
    <w:name w:val="footer"/>
    <w:basedOn w:val="Normal"/>
    <w:link w:val="RodapChar"/>
    <w:uiPriority w:val="99"/>
    <w:unhideWhenUsed/>
    <w:rsid w:val="00D75435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D75435"/>
    <w:rPr>
      <w:rFonts w:cs="Mangal"/>
      <w:color w:val="00000A"/>
      <w:szCs w:val="21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A14321"/>
    <w:rPr>
      <w:rFonts w:cs="Mangal"/>
      <w:sz w:val="20"/>
      <w:szCs w:val="18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A14321"/>
    <w:rPr>
      <w:rFonts w:cs="Mangal"/>
      <w:color w:val="00000A"/>
      <w:sz w:val="20"/>
      <w:szCs w:val="18"/>
    </w:rPr>
  </w:style>
  <w:style w:type="character" w:styleId="Refdenotadefim">
    <w:name w:val="endnote reference"/>
    <w:basedOn w:val="Fontepargpadro"/>
    <w:uiPriority w:val="99"/>
    <w:semiHidden/>
    <w:unhideWhenUsed/>
    <w:rsid w:val="00A14321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6757E"/>
    <w:rPr>
      <w:rFonts w:cs="Mangal"/>
      <w:sz w:val="20"/>
      <w:szCs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6757E"/>
    <w:rPr>
      <w:rFonts w:cs="Mangal"/>
      <w:color w:val="00000A"/>
      <w:sz w:val="20"/>
      <w:szCs w:val="18"/>
    </w:rPr>
  </w:style>
  <w:style w:type="character" w:styleId="Refdenotaderodap">
    <w:name w:val="footnote reference"/>
    <w:basedOn w:val="Fontepargpadro"/>
    <w:uiPriority w:val="99"/>
    <w:semiHidden/>
    <w:unhideWhenUsed/>
    <w:rsid w:val="0006757E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51B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51BA"/>
    <w:rPr>
      <w:rFonts w:ascii="Tahoma" w:hAnsi="Tahoma" w:cs="Mangal"/>
      <w:color w:val="00000A"/>
      <w:sz w:val="16"/>
      <w:szCs w:val="14"/>
    </w:rPr>
  </w:style>
  <w:style w:type="character" w:customStyle="1" w:styleId="TextoPargrafoChar">
    <w:name w:val="Texto Parágrafo Char"/>
    <w:link w:val="TextoPargrafo"/>
    <w:rsid w:val="00F71306"/>
    <w:rPr>
      <w:rFonts w:ascii="Arial" w:hAnsi="Arial"/>
    </w:rPr>
  </w:style>
  <w:style w:type="character" w:styleId="RefernciaSutil">
    <w:name w:val="Subtle Reference"/>
    <w:uiPriority w:val="31"/>
    <w:rsid w:val="00F71306"/>
  </w:style>
  <w:style w:type="paragraph" w:customStyle="1" w:styleId="TextoPargrafo">
    <w:name w:val="Texto Parágrafo"/>
    <w:basedOn w:val="Normal"/>
    <w:link w:val="TextoPargrafoChar"/>
    <w:qFormat/>
    <w:rsid w:val="00F71306"/>
    <w:pPr>
      <w:widowControl/>
      <w:spacing w:before="80" w:after="80" w:line="360" w:lineRule="auto"/>
      <w:ind w:firstLine="1134"/>
      <w:jc w:val="both"/>
    </w:pPr>
    <w:rPr>
      <w:rFonts w:ascii="Arial" w:hAnsi="Arial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CD62D-3882-431B-8D02-5F6E37B7D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MOD.CONOF.ST 1024/2022 - P_6699 - Túlio Cambraia</dc:creator>
  <cp:lastModifiedBy>Tulio Cambraia</cp:lastModifiedBy>
  <cp:revision>3</cp:revision>
  <dcterms:created xsi:type="dcterms:W3CDTF">2022-08-01T22:57:00Z</dcterms:created>
  <dcterms:modified xsi:type="dcterms:W3CDTF">2022-08-01T23:02:00Z</dcterms:modified>
  <dc:language>pt-BR</dc:language>
</cp:coreProperties>
</file>