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36BD" w:rsidRPr="00AD36BD" w:rsidRDefault="00AD36BD" w:rsidP="00AD36BD">
      <w:pPr>
        <w:spacing w:after="0" w:line="240" w:lineRule="auto"/>
        <w:jc w:val="center"/>
        <w:rPr>
          <w:rFonts w:ascii="Courier New" w:eastAsia="Times New Roman" w:hAnsi="Courier New" w:cs="Courier New"/>
          <w:caps/>
          <w:snapToGrid w:val="0"/>
          <w:sz w:val="24"/>
          <w:szCs w:val="24"/>
          <w:lang w:eastAsia="pt-BR"/>
        </w:rPr>
      </w:pPr>
      <w:r w:rsidRPr="00AD36BD">
        <w:rPr>
          <w:rFonts w:ascii="Courier New" w:eastAsia="Times New Roman" w:hAnsi="Courier New" w:cs="Courier New"/>
          <w:caps/>
          <w:snapToGrid w:val="0"/>
          <w:sz w:val="24"/>
          <w:szCs w:val="24"/>
          <w:lang w:eastAsia="pt-BR"/>
        </w:rPr>
        <w:t>redação final</w:t>
      </w:r>
    </w:p>
    <w:p w:rsidR="00AD36BD" w:rsidRPr="00AD36BD" w:rsidRDefault="00AD36BD" w:rsidP="00AD36BD">
      <w:pPr>
        <w:spacing w:after="0" w:line="240" w:lineRule="auto"/>
        <w:jc w:val="center"/>
        <w:rPr>
          <w:rFonts w:ascii="Courier New" w:eastAsia="Times New Roman" w:hAnsi="Courier New" w:cs="Courier New"/>
          <w:caps/>
          <w:snapToGrid w:val="0"/>
          <w:sz w:val="24"/>
          <w:szCs w:val="24"/>
          <w:lang w:eastAsia="pt-BR"/>
        </w:rPr>
      </w:pPr>
      <w:r w:rsidRPr="00AD36BD">
        <w:rPr>
          <w:rFonts w:ascii="Courier New" w:eastAsia="Times New Roman" w:hAnsi="Courier New" w:cs="Courier New"/>
          <w:caps/>
          <w:snapToGrid w:val="0"/>
          <w:sz w:val="24"/>
          <w:szCs w:val="24"/>
          <w:lang w:eastAsia="pt-BR"/>
        </w:rPr>
        <w:t>PROPOSTA DE emenda à constituição nº 39-c de 2021</w:t>
      </w:r>
    </w:p>
    <w:p w:rsidR="00AD36BD" w:rsidRPr="00AD36BD" w:rsidRDefault="00AD36BD" w:rsidP="00AD36BD">
      <w:pPr>
        <w:tabs>
          <w:tab w:val="left" w:leader="dot" w:pos="8505"/>
        </w:tabs>
        <w:suppressAutoHyphens/>
        <w:spacing w:after="0" w:line="360" w:lineRule="auto"/>
        <w:ind w:firstLine="1418"/>
        <w:jc w:val="both"/>
        <w:rPr>
          <w:rFonts w:ascii="Courier New" w:eastAsia="Times New Roman" w:hAnsi="Courier New" w:cs="Courier New"/>
          <w:snapToGrid w:val="0"/>
          <w:sz w:val="24"/>
          <w:szCs w:val="24"/>
          <w:lang w:eastAsia="pt-BR"/>
        </w:rPr>
      </w:pPr>
    </w:p>
    <w:p w:rsidR="00AD36BD" w:rsidRPr="00AD36BD" w:rsidRDefault="00AD36BD" w:rsidP="00AD36BD">
      <w:pPr>
        <w:suppressAutoHyphens/>
        <w:spacing w:after="0" w:line="192" w:lineRule="auto"/>
        <w:ind w:left="3538"/>
        <w:jc w:val="both"/>
        <w:rPr>
          <w:rFonts w:ascii="Courier New" w:eastAsia="Times New Roman" w:hAnsi="Courier New" w:cs="Courier New"/>
          <w:snapToGrid w:val="0"/>
          <w:sz w:val="24"/>
          <w:szCs w:val="24"/>
          <w:lang w:eastAsia="pt-BR"/>
        </w:rPr>
      </w:pPr>
      <w:r w:rsidRPr="00AD36BD">
        <w:rPr>
          <w:rFonts w:ascii="Courier New" w:eastAsia="Times New Roman" w:hAnsi="Courier New" w:cs="Courier New"/>
          <w:snapToGrid w:val="0"/>
          <w:sz w:val="24"/>
          <w:szCs w:val="24"/>
          <w:lang w:eastAsia="pt-BR"/>
        </w:rPr>
        <w:t>Altera o art. 105 da Constituição Federal para instituir no recurso especial o requisito da relevância das questões de direito federal infraconstitucional.</w:t>
      </w:r>
    </w:p>
    <w:p w:rsidR="00AD36BD" w:rsidRPr="00AD36BD" w:rsidRDefault="00AD36BD" w:rsidP="00AD36BD">
      <w:pPr>
        <w:tabs>
          <w:tab w:val="left" w:leader="dot" w:pos="8505"/>
        </w:tabs>
        <w:suppressAutoHyphens/>
        <w:spacing w:after="0" w:line="360" w:lineRule="auto"/>
        <w:ind w:firstLine="1418"/>
        <w:jc w:val="both"/>
        <w:rPr>
          <w:rFonts w:ascii="Courier New" w:eastAsia="Times New Roman" w:hAnsi="Courier New" w:cs="Courier New"/>
          <w:snapToGrid w:val="0"/>
          <w:sz w:val="24"/>
          <w:szCs w:val="24"/>
          <w:lang w:eastAsia="pt-BR"/>
        </w:rPr>
      </w:pPr>
    </w:p>
    <w:p w:rsidR="00AD36BD" w:rsidRPr="00AD36BD" w:rsidRDefault="00AD36BD" w:rsidP="00AD36BD">
      <w:pPr>
        <w:tabs>
          <w:tab w:val="left" w:leader="dot" w:pos="8505"/>
        </w:tabs>
        <w:suppressAutoHyphens/>
        <w:spacing w:after="0" w:line="240" w:lineRule="auto"/>
        <w:ind w:firstLine="1418"/>
        <w:jc w:val="both"/>
        <w:rPr>
          <w:rFonts w:ascii="Courier New" w:eastAsia="Times New Roman" w:hAnsi="Courier New" w:cs="Courier New"/>
          <w:snapToGrid w:val="0"/>
          <w:sz w:val="24"/>
          <w:szCs w:val="24"/>
          <w:lang w:eastAsia="pt-BR"/>
        </w:rPr>
      </w:pPr>
      <w:r w:rsidRPr="00AD36BD">
        <w:rPr>
          <w:rFonts w:ascii="Courier New" w:eastAsia="Times New Roman" w:hAnsi="Courier New" w:cs="Courier New"/>
          <w:snapToGrid w:val="0"/>
          <w:sz w:val="24"/>
          <w:szCs w:val="24"/>
          <w:lang w:eastAsia="pt-BR"/>
        </w:rPr>
        <w:t>AS MESAS DA CÂMARA DOS DEPUTADOS E DO SENADO FEDERAL, nos termos do § 3º do art. 60 da Constituição Federal, promulgam a seguinte Emenda ao texto constitucional:</w:t>
      </w:r>
    </w:p>
    <w:p w:rsidR="00AD36BD" w:rsidRPr="00AD36BD" w:rsidRDefault="00AD36BD" w:rsidP="00AD36BD">
      <w:pPr>
        <w:tabs>
          <w:tab w:val="left" w:leader="dot" w:pos="8505"/>
        </w:tabs>
        <w:suppressAutoHyphens/>
        <w:spacing w:after="0" w:line="360" w:lineRule="auto"/>
        <w:ind w:firstLine="1418"/>
        <w:jc w:val="both"/>
        <w:rPr>
          <w:rFonts w:ascii="Courier New" w:eastAsia="Times New Roman" w:hAnsi="Courier New" w:cs="Times New Roman"/>
          <w:snapToGrid w:val="0"/>
          <w:sz w:val="24"/>
          <w:szCs w:val="20"/>
          <w:lang w:eastAsia="pt-BR"/>
        </w:rPr>
      </w:pPr>
    </w:p>
    <w:p w:rsidR="00AD36BD" w:rsidRPr="00AD36BD" w:rsidRDefault="00AD36BD" w:rsidP="00AD36BD">
      <w:pPr>
        <w:tabs>
          <w:tab w:val="left" w:leader="dot" w:pos="8505"/>
        </w:tabs>
        <w:suppressAutoHyphens/>
        <w:spacing w:after="0" w:line="360" w:lineRule="auto"/>
        <w:ind w:firstLine="1418"/>
        <w:jc w:val="both"/>
        <w:rPr>
          <w:rFonts w:ascii="Courier New" w:eastAsia="Times New Roman" w:hAnsi="Courier New" w:cs="Times New Roman"/>
          <w:snapToGrid w:val="0"/>
          <w:sz w:val="24"/>
          <w:szCs w:val="20"/>
          <w:lang w:eastAsia="pt-BR"/>
        </w:rPr>
      </w:pPr>
      <w:r w:rsidRPr="00AD36BD">
        <w:rPr>
          <w:rFonts w:ascii="Courier New" w:eastAsia="Times New Roman" w:hAnsi="Courier New" w:cs="Times New Roman"/>
          <w:snapToGrid w:val="0"/>
          <w:sz w:val="24"/>
          <w:szCs w:val="20"/>
          <w:lang w:eastAsia="pt-BR"/>
        </w:rPr>
        <w:t xml:space="preserve">Art. 1º O art. 105 da Constituição Federal passa a vigorar </w:t>
      </w:r>
      <w:r>
        <w:rPr>
          <w:rFonts w:ascii="Courier New" w:eastAsia="Times New Roman" w:hAnsi="Courier New" w:cs="Times New Roman"/>
          <w:snapToGrid w:val="0"/>
          <w:sz w:val="24"/>
          <w:szCs w:val="20"/>
          <w:lang w:eastAsia="pt-BR"/>
        </w:rPr>
        <w:t>com as seguintes alterações</w:t>
      </w:r>
      <w:r w:rsidRPr="00AD36BD">
        <w:rPr>
          <w:rFonts w:ascii="Courier New" w:eastAsia="Times New Roman" w:hAnsi="Courier New" w:cs="Times New Roman"/>
          <w:snapToGrid w:val="0"/>
          <w:sz w:val="24"/>
          <w:szCs w:val="20"/>
          <w:lang w:eastAsia="pt-BR"/>
        </w:rPr>
        <w:t>:</w:t>
      </w:r>
    </w:p>
    <w:p w:rsidR="00AD36BD" w:rsidRPr="00AD36BD" w:rsidRDefault="00AD36BD" w:rsidP="00AD36BD">
      <w:pPr>
        <w:tabs>
          <w:tab w:val="left" w:leader="dot" w:pos="8505"/>
        </w:tabs>
        <w:suppressAutoHyphens/>
        <w:spacing w:after="0" w:line="360" w:lineRule="auto"/>
        <w:ind w:left="1418" w:firstLine="1418"/>
        <w:jc w:val="both"/>
        <w:rPr>
          <w:rFonts w:ascii="Courier New" w:eastAsia="Times New Roman" w:hAnsi="Courier New" w:cs="Times New Roman"/>
          <w:snapToGrid w:val="0"/>
          <w:sz w:val="24"/>
          <w:szCs w:val="20"/>
          <w:lang w:eastAsia="pt-BR"/>
        </w:rPr>
      </w:pPr>
      <w:r w:rsidRPr="00AD36BD">
        <w:rPr>
          <w:rFonts w:ascii="Courier New" w:eastAsia="Times New Roman" w:hAnsi="Courier New" w:cs="Times New Roman"/>
          <w:snapToGrid w:val="0"/>
          <w:sz w:val="24"/>
          <w:szCs w:val="20"/>
          <w:lang w:eastAsia="pt-BR"/>
        </w:rPr>
        <w:t>“Art. 105. ............................</w:t>
      </w:r>
    </w:p>
    <w:p w:rsidR="00AD36BD" w:rsidRPr="00AD36BD" w:rsidRDefault="00AD36BD" w:rsidP="00AD36BD">
      <w:pPr>
        <w:tabs>
          <w:tab w:val="left" w:leader="dot" w:pos="8505"/>
        </w:tabs>
        <w:suppressAutoHyphens/>
        <w:spacing w:after="0" w:line="360" w:lineRule="auto"/>
        <w:ind w:left="1418" w:firstLine="1418"/>
        <w:jc w:val="both"/>
        <w:rPr>
          <w:rFonts w:ascii="Courier New" w:eastAsia="Times New Roman" w:hAnsi="Courier New" w:cs="Times New Roman"/>
          <w:snapToGrid w:val="0"/>
          <w:sz w:val="24"/>
          <w:szCs w:val="20"/>
          <w:lang w:eastAsia="pt-BR"/>
        </w:rPr>
      </w:pPr>
      <w:r w:rsidRPr="00AD36BD">
        <w:rPr>
          <w:rFonts w:ascii="Courier New" w:eastAsia="Times New Roman" w:hAnsi="Courier New" w:cs="Times New Roman"/>
          <w:snapToGrid w:val="0"/>
          <w:sz w:val="24"/>
          <w:szCs w:val="20"/>
          <w:lang w:eastAsia="pt-BR"/>
        </w:rPr>
        <w:t>§ 1º ..................................</w:t>
      </w:r>
    </w:p>
    <w:p w:rsidR="00087285" w:rsidRPr="00FB7AE1" w:rsidRDefault="00087285" w:rsidP="00087285">
      <w:pPr>
        <w:pStyle w:val="texto2"/>
      </w:pPr>
      <w:r w:rsidRPr="00087285">
        <w:t>§ 2º No</w:t>
      </w:r>
      <w:r w:rsidRPr="00707EB0">
        <w:t xml:space="preserve"> recurso especial, o recorrente deve demonstrar a relevância das questões de direito federal infraconstitucional discutidas no caso, nos termos da lei, a fim de que a admissão do recurso </w:t>
      </w:r>
      <w:r>
        <w:t>seja examinada pel</w:t>
      </w:r>
      <w:r w:rsidRPr="00707EB0">
        <w:t>o Tribunal</w:t>
      </w:r>
      <w:r w:rsidRPr="00FB7AE1">
        <w:t>,</w:t>
      </w:r>
      <w:r>
        <w:t xml:space="preserve"> o qual somente pode</w:t>
      </w:r>
      <w:r w:rsidRPr="00FB7AE1">
        <w:t xml:space="preserve"> </w:t>
      </w:r>
      <w:r>
        <w:t xml:space="preserve">dele </w:t>
      </w:r>
      <w:r w:rsidRPr="00FB7AE1">
        <w:t xml:space="preserve">não conhecer </w:t>
      </w:r>
      <w:r>
        <w:t>com base n</w:t>
      </w:r>
      <w:r w:rsidRPr="00FB7AE1">
        <w:t>esse motivo pela manifestação de 2/3 (dois terços) dos membros do órgão competente para o julgamento.</w:t>
      </w:r>
    </w:p>
    <w:p w:rsidR="00AD36BD" w:rsidRPr="00AD36BD" w:rsidRDefault="00AD36BD" w:rsidP="00AD36BD">
      <w:pPr>
        <w:tabs>
          <w:tab w:val="left" w:leader="dot" w:pos="8505"/>
        </w:tabs>
        <w:suppressAutoHyphens/>
        <w:spacing w:after="0" w:line="360" w:lineRule="auto"/>
        <w:ind w:left="1418" w:firstLine="1418"/>
        <w:jc w:val="both"/>
        <w:rPr>
          <w:rFonts w:ascii="Courier New" w:eastAsia="Times New Roman" w:hAnsi="Courier New" w:cs="Times New Roman"/>
          <w:snapToGrid w:val="0"/>
          <w:sz w:val="24"/>
          <w:szCs w:val="20"/>
          <w:lang w:eastAsia="pt-BR"/>
        </w:rPr>
      </w:pPr>
      <w:r w:rsidRPr="00AD36BD">
        <w:rPr>
          <w:rFonts w:ascii="Courier New" w:eastAsia="Times New Roman" w:hAnsi="Courier New" w:cs="Times New Roman"/>
          <w:snapToGrid w:val="0"/>
          <w:sz w:val="24"/>
          <w:szCs w:val="20"/>
          <w:lang w:eastAsia="pt-BR"/>
        </w:rPr>
        <w:t>§ 3º Haverá</w:t>
      </w:r>
      <w:r w:rsidR="004F65AD">
        <w:rPr>
          <w:rFonts w:ascii="Courier New" w:eastAsia="Times New Roman" w:hAnsi="Courier New" w:cs="Times New Roman"/>
          <w:snapToGrid w:val="0"/>
          <w:sz w:val="24"/>
          <w:szCs w:val="20"/>
          <w:lang w:eastAsia="pt-BR"/>
        </w:rPr>
        <w:t xml:space="preserve"> a relevância de que trata o § 2</w:t>
      </w:r>
      <w:r w:rsidRPr="00AD36BD">
        <w:rPr>
          <w:rFonts w:ascii="Courier New" w:eastAsia="Times New Roman" w:hAnsi="Courier New" w:cs="Times New Roman"/>
          <w:snapToGrid w:val="0"/>
          <w:sz w:val="24"/>
          <w:szCs w:val="20"/>
          <w:lang w:eastAsia="pt-BR"/>
        </w:rPr>
        <w:t>º deste artigo nos seguintes casos:</w:t>
      </w:r>
    </w:p>
    <w:p w:rsidR="00AD36BD" w:rsidRPr="00AD36BD" w:rsidRDefault="00AD36BD" w:rsidP="00AD36BD">
      <w:pPr>
        <w:tabs>
          <w:tab w:val="left" w:leader="dot" w:pos="8505"/>
        </w:tabs>
        <w:suppressAutoHyphens/>
        <w:spacing w:after="0" w:line="360" w:lineRule="auto"/>
        <w:ind w:left="1418" w:firstLine="1418"/>
        <w:jc w:val="both"/>
        <w:rPr>
          <w:rFonts w:ascii="Courier New" w:eastAsia="Times New Roman" w:hAnsi="Courier New" w:cs="Times New Roman"/>
          <w:snapToGrid w:val="0"/>
          <w:sz w:val="24"/>
          <w:szCs w:val="20"/>
          <w:lang w:eastAsia="pt-BR"/>
        </w:rPr>
      </w:pPr>
      <w:r w:rsidRPr="00AD36BD">
        <w:rPr>
          <w:rFonts w:ascii="Courier New" w:eastAsia="Times New Roman" w:hAnsi="Courier New" w:cs="Times New Roman"/>
          <w:snapToGrid w:val="0"/>
          <w:sz w:val="24"/>
          <w:szCs w:val="20"/>
          <w:lang w:eastAsia="pt-BR"/>
        </w:rPr>
        <w:t xml:space="preserve">I – </w:t>
      </w:r>
      <w:proofErr w:type="gramStart"/>
      <w:r w:rsidRPr="00AD36BD">
        <w:rPr>
          <w:rFonts w:ascii="Courier New" w:eastAsia="Times New Roman" w:hAnsi="Courier New" w:cs="Times New Roman"/>
          <w:snapToGrid w:val="0"/>
          <w:sz w:val="24"/>
          <w:szCs w:val="20"/>
          <w:lang w:eastAsia="pt-BR"/>
        </w:rPr>
        <w:t>ações</w:t>
      </w:r>
      <w:proofErr w:type="gramEnd"/>
      <w:r w:rsidRPr="00AD36BD">
        <w:rPr>
          <w:rFonts w:ascii="Courier New" w:eastAsia="Times New Roman" w:hAnsi="Courier New" w:cs="Times New Roman"/>
          <w:snapToGrid w:val="0"/>
          <w:sz w:val="24"/>
          <w:szCs w:val="20"/>
          <w:lang w:eastAsia="pt-BR"/>
        </w:rPr>
        <w:t xml:space="preserve"> penais;</w:t>
      </w:r>
    </w:p>
    <w:p w:rsidR="00AD36BD" w:rsidRPr="00AD36BD" w:rsidRDefault="00AD36BD" w:rsidP="00AD36BD">
      <w:pPr>
        <w:tabs>
          <w:tab w:val="left" w:leader="dot" w:pos="8505"/>
        </w:tabs>
        <w:suppressAutoHyphens/>
        <w:spacing w:after="0" w:line="360" w:lineRule="auto"/>
        <w:ind w:left="1418" w:firstLine="1418"/>
        <w:jc w:val="both"/>
        <w:rPr>
          <w:rFonts w:ascii="Courier New" w:eastAsia="Times New Roman" w:hAnsi="Courier New" w:cs="Times New Roman"/>
          <w:snapToGrid w:val="0"/>
          <w:sz w:val="24"/>
          <w:szCs w:val="20"/>
          <w:lang w:eastAsia="pt-BR"/>
        </w:rPr>
      </w:pPr>
      <w:r w:rsidRPr="00AD36BD">
        <w:rPr>
          <w:rFonts w:ascii="Courier New" w:eastAsia="Times New Roman" w:hAnsi="Courier New" w:cs="Times New Roman"/>
          <w:snapToGrid w:val="0"/>
          <w:sz w:val="24"/>
          <w:szCs w:val="20"/>
          <w:lang w:eastAsia="pt-BR"/>
        </w:rPr>
        <w:t xml:space="preserve">II – </w:t>
      </w:r>
      <w:proofErr w:type="gramStart"/>
      <w:r w:rsidRPr="00AD36BD">
        <w:rPr>
          <w:rFonts w:ascii="Courier New" w:eastAsia="Times New Roman" w:hAnsi="Courier New" w:cs="Times New Roman"/>
          <w:snapToGrid w:val="0"/>
          <w:sz w:val="24"/>
          <w:szCs w:val="20"/>
          <w:lang w:eastAsia="pt-BR"/>
        </w:rPr>
        <w:t>ações</w:t>
      </w:r>
      <w:proofErr w:type="gramEnd"/>
      <w:r w:rsidRPr="00AD36BD">
        <w:rPr>
          <w:rFonts w:ascii="Courier New" w:eastAsia="Times New Roman" w:hAnsi="Courier New" w:cs="Times New Roman"/>
          <w:snapToGrid w:val="0"/>
          <w:sz w:val="24"/>
          <w:szCs w:val="20"/>
          <w:lang w:eastAsia="pt-BR"/>
        </w:rPr>
        <w:t xml:space="preserve"> de improbidade administrativa;</w:t>
      </w:r>
    </w:p>
    <w:p w:rsidR="00AD36BD" w:rsidRPr="00AD36BD" w:rsidRDefault="00AD36BD" w:rsidP="00AD36BD">
      <w:pPr>
        <w:tabs>
          <w:tab w:val="left" w:leader="dot" w:pos="8505"/>
        </w:tabs>
        <w:suppressAutoHyphens/>
        <w:spacing w:after="0" w:line="360" w:lineRule="auto"/>
        <w:ind w:left="1418" w:firstLine="1418"/>
        <w:jc w:val="both"/>
        <w:rPr>
          <w:rFonts w:ascii="Courier New" w:eastAsia="Times New Roman" w:hAnsi="Courier New" w:cs="Times New Roman"/>
          <w:snapToGrid w:val="0"/>
          <w:sz w:val="24"/>
          <w:szCs w:val="20"/>
          <w:lang w:eastAsia="pt-BR"/>
        </w:rPr>
      </w:pPr>
      <w:r>
        <w:rPr>
          <w:rFonts w:ascii="Courier New" w:eastAsia="Times New Roman" w:hAnsi="Courier New" w:cs="Times New Roman"/>
          <w:snapToGrid w:val="0"/>
          <w:sz w:val="24"/>
          <w:szCs w:val="20"/>
          <w:lang w:eastAsia="pt-BR"/>
        </w:rPr>
        <w:t>III – ações cujo valor da</w:t>
      </w:r>
      <w:r w:rsidRPr="00AD36BD">
        <w:rPr>
          <w:rFonts w:ascii="Courier New" w:eastAsia="Times New Roman" w:hAnsi="Courier New" w:cs="Times New Roman"/>
          <w:snapToGrid w:val="0"/>
          <w:sz w:val="24"/>
          <w:szCs w:val="20"/>
          <w:lang w:eastAsia="pt-BR"/>
        </w:rPr>
        <w:t xml:space="preserve"> causa ultrapasse 500 (quinhentos) salários mínimos;</w:t>
      </w:r>
    </w:p>
    <w:p w:rsidR="00AD36BD" w:rsidRPr="00AD36BD" w:rsidRDefault="00AD36BD" w:rsidP="00AD36BD">
      <w:pPr>
        <w:tabs>
          <w:tab w:val="left" w:leader="dot" w:pos="8505"/>
        </w:tabs>
        <w:suppressAutoHyphens/>
        <w:spacing w:after="0" w:line="360" w:lineRule="auto"/>
        <w:ind w:left="1418" w:firstLine="1418"/>
        <w:jc w:val="both"/>
        <w:rPr>
          <w:rFonts w:ascii="Courier New" w:eastAsia="Times New Roman" w:hAnsi="Courier New" w:cs="Times New Roman"/>
          <w:snapToGrid w:val="0"/>
          <w:sz w:val="24"/>
          <w:szCs w:val="20"/>
          <w:lang w:eastAsia="pt-BR"/>
        </w:rPr>
      </w:pPr>
      <w:r w:rsidRPr="00AD36BD">
        <w:rPr>
          <w:rFonts w:ascii="Courier New" w:eastAsia="Times New Roman" w:hAnsi="Courier New" w:cs="Times New Roman"/>
          <w:snapToGrid w:val="0"/>
          <w:sz w:val="24"/>
          <w:szCs w:val="20"/>
          <w:lang w:eastAsia="pt-BR"/>
        </w:rPr>
        <w:lastRenderedPageBreak/>
        <w:t xml:space="preserve">IV – </w:t>
      </w:r>
      <w:proofErr w:type="gramStart"/>
      <w:r w:rsidRPr="00AD36BD">
        <w:rPr>
          <w:rFonts w:ascii="Courier New" w:eastAsia="Times New Roman" w:hAnsi="Courier New" w:cs="Times New Roman"/>
          <w:snapToGrid w:val="0"/>
          <w:sz w:val="24"/>
          <w:szCs w:val="20"/>
          <w:lang w:eastAsia="pt-BR"/>
        </w:rPr>
        <w:t>ações</w:t>
      </w:r>
      <w:proofErr w:type="gramEnd"/>
      <w:r w:rsidRPr="00AD36BD">
        <w:rPr>
          <w:rFonts w:ascii="Courier New" w:eastAsia="Times New Roman" w:hAnsi="Courier New" w:cs="Times New Roman"/>
          <w:snapToGrid w:val="0"/>
          <w:sz w:val="24"/>
          <w:szCs w:val="20"/>
          <w:lang w:eastAsia="pt-BR"/>
        </w:rPr>
        <w:t xml:space="preserve"> que possam gerar inelegibilidade;</w:t>
      </w:r>
    </w:p>
    <w:p w:rsidR="00AD36BD" w:rsidRPr="00AD36BD" w:rsidRDefault="00AD36BD" w:rsidP="00AD36BD">
      <w:pPr>
        <w:tabs>
          <w:tab w:val="left" w:leader="dot" w:pos="8505"/>
        </w:tabs>
        <w:suppressAutoHyphens/>
        <w:spacing w:after="0" w:line="360" w:lineRule="auto"/>
        <w:ind w:left="1418" w:firstLine="1418"/>
        <w:jc w:val="both"/>
        <w:rPr>
          <w:rFonts w:ascii="Courier New" w:eastAsia="Times New Roman" w:hAnsi="Courier New" w:cs="Times New Roman"/>
          <w:snapToGrid w:val="0"/>
          <w:sz w:val="24"/>
          <w:szCs w:val="20"/>
          <w:lang w:eastAsia="pt-BR"/>
        </w:rPr>
      </w:pPr>
      <w:r w:rsidRPr="00AD36BD">
        <w:rPr>
          <w:rFonts w:ascii="Courier New" w:eastAsia="Times New Roman" w:hAnsi="Courier New" w:cs="Times New Roman"/>
          <w:snapToGrid w:val="0"/>
          <w:sz w:val="24"/>
          <w:szCs w:val="20"/>
          <w:lang w:eastAsia="pt-BR"/>
        </w:rPr>
        <w:t xml:space="preserve">V – </w:t>
      </w:r>
      <w:proofErr w:type="gramStart"/>
      <w:r w:rsidRPr="00AD36BD">
        <w:rPr>
          <w:rFonts w:ascii="Courier New" w:eastAsia="Times New Roman" w:hAnsi="Courier New" w:cs="Times New Roman"/>
          <w:snapToGrid w:val="0"/>
          <w:sz w:val="24"/>
          <w:szCs w:val="20"/>
          <w:lang w:eastAsia="pt-BR"/>
        </w:rPr>
        <w:t>hipóteses</w:t>
      </w:r>
      <w:proofErr w:type="gramEnd"/>
      <w:r w:rsidRPr="00AD36BD">
        <w:rPr>
          <w:rFonts w:ascii="Courier New" w:eastAsia="Times New Roman" w:hAnsi="Courier New" w:cs="Times New Roman"/>
          <w:snapToGrid w:val="0"/>
          <w:sz w:val="24"/>
          <w:szCs w:val="20"/>
          <w:lang w:eastAsia="pt-BR"/>
        </w:rPr>
        <w:t xml:space="preserve"> em que o acórdão recorrido contrariar jurisprudência dominante do Superior Tribunal de Justiça;</w:t>
      </w:r>
    </w:p>
    <w:p w:rsidR="00AD36BD" w:rsidRPr="00AD36BD" w:rsidRDefault="00AD36BD" w:rsidP="00AD36BD">
      <w:pPr>
        <w:tabs>
          <w:tab w:val="left" w:leader="dot" w:pos="8505"/>
        </w:tabs>
        <w:suppressAutoHyphens/>
        <w:spacing w:after="0" w:line="360" w:lineRule="auto"/>
        <w:ind w:left="1418" w:firstLine="1418"/>
        <w:jc w:val="both"/>
        <w:rPr>
          <w:rFonts w:ascii="Courier New" w:eastAsia="Times New Roman" w:hAnsi="Courier New" w:cs="Times New Roman"/>
          <w:snapToGrid w:val="0"/>
          <w:sz w:val="24"/>
          <w:szCs w:val="20"/>
          <w:lang w:eastAsia="pt-BR"/>
        </w:rPr>
      </w:pPr>
      <w:r w:rsidRPr="00AD36BD">
        <w:rPr>
          <w:rFonts w:ascii="Courier New" w:eastAsia="Times New Roman" w:hAnsi="Courier New" w:cs="Times New Roman"/>
          <w:snapToGrid w:val="0"/>
          <w:sz w:val="24"/>
          <w:szCs w:val="20"/>
          <w:lang w:eastAsia="pt-BR"/>
        </w:rPr>
        <w:t xml:space="preserve">VI – outras hipóteses previstas em </w:t>
      </w:r>
      <w:proofErr w:type="gramStart"/>
      <w:r w:rsidRPr="00AD36BD">
        <w:rPr>
          <w:rFonts w:ascii="Courier New" w:eastAsia="Times New Roman" w:hAnsi="Courier New" w:cs="Times New Roman"/>
          <w:snapToGrid w:val="0"/>
          <w:sz w:val="24"/>
          <w:szCs w:val="20"/>
          <w:lang w:eastAsia="pt-BR"/>
        </w:rPr>
        <w:t>lei.”</w:t>
      </w:r>
      <w:proofErr w:type="gramEnd"/>
      <w:r w:rsidRPr="00AD36BD">
        <w:rPr>
          <w:rFonts w:ascii="Courier New" w:eastAsia="Times New Roman" w:hAnsi="Courier New" w:cs="Times New Roman"/>
          <w:snapToGrid w:val="0"/>
          <w:sz w:val="24"/>
          <w:szCs w:val="20"/>
          <w:lang w:eastAsia="pt-BR"/>
        </w:rPr>
        <w:t>(NR)</w:t>
      </w:r>
    </w:p>
    <w:p w:rsidR="00AD36BD" w:rsidRPr="00AD36BD" w:rsidRDefault="00AD36BD" w:rsidP="00AD36BD">
      <w:pPr>
        <w:tabs>
          <w:tab w:val="left" w:leader="dot" w:pos="8505"/>
        </w:tabs>
        <w:suppressAutoHyphens/>
        <w:spacing w:after="0" w:line="360" w:lineRule="auto"/>
        <w:ind w:firstLine="1418"/>
        <w:jc w:val="both"/>
        <w:rPr>
          <w:rFonts w:ascii="Courier New" w:eastAsia="Times New Roman" w:hAnsi="Courier New" w:cs="Times New Roman"/>
          <w:snapToGrid w:val="0"/>
          <w:sz w:val="24"/>
          <w:szCs w:val="20"/>
          <w:lang w:eastAsia="pt-BR"/>
        </w:rPr>
      </w:pPr>
      <w:r w:rsidRPr="00AD36BD">
        <w:rPr>
          <w:rFonts w:ascii="Courier New" w:eastAsia="Times New Roman" w:hAnsi="Courier New" w:cs="Times New Roman"/>
          <w:snapToGrid w:val="0"/>
          <w:sz w:val="24"/>
          <w:szCs w:val="20"/>
          <w:lang w:eastAsia="pt-BR"/>
        </w:rPr>
        <w:t>Art. 2º A relevância de que trata o § 2º do art. 105 da Constituição Federal será exigida nos recursos especiais interpostos após a entrada em vigor desta Emenda Constitucional, ocasião em que a parte poderá atualizar o valor da causa para os fins de que trata o inciso III do § 3º</w:t>
      </w:r>
      <w:r w:rsidR="004F65AD">
        <w:rPr>
          <w:rFonts w:ascii="Courier New" w:eastAsia="Times New Roman" w:hAnsi="Courier New" w:cs="Times New Roman"/>
          <w:snapToGrid w:val="0"/>
          <w:sz w:val="24"/>
          <w:szCs w:val="20"/>
          <w:lang w:eastAsia="pt-BR"/>
        </w:rPr>
        <w:t xml:space="preserve"> do</w:t>
      </w:r>
      <w:r w:rsidRPr="00AD36BD">
        <w:rPr>
          <w:rFonts w:ascii="Courier New" w:eastAsia="Times New Roman" w:hAnsi="Courier New" w:cs="Times New Roman"/>
          <w:snapToGrid w:val="0"/>
          <w:sz w:val="24"/>
          <w:szCs w:val="20"/>
          <w:lang w:eastAsia="pt-BR"/>
        </w:rPr>
        <w:t xml:space="preserve"> referido artigo.</w:t>
      </w:r>
    </w:p>
    <w:p w:rsidR="00AD36BD" w:rsidRPr="00AD36BD" w:rsidRDefault="00AD36BD" w:rsidP="00AD36BD">
      <w:pPr>
        <w:tabs>
          <w:tab w:val="left" w:leader="dot" w:pos="8505"/>
        </w:tabs>
        <w:suppressAutoHyphens/>
        <w:spacing w:after="0" w:line="360" w:lineRule="auto"/>
        <w:ind w:firstLine="1418"/>
        <w:jc w:val="both"/>
        <w:rPr>
          <w:rFonts w:ascii="Courier New" w:eastAsia="Times New Roman" w:hAnsi="Courier New" w:cs="Times New Roman"/>
          <w:snapToGrid w:val="0"/>
          <w:sz w:val="24"/>
          <w:szCs w:val="20"/>
          <w:lang w:eastAsia="pt-BR"/>
        </w:rPr>
      </w:pPr>
      <w:r w:rsidRPr="00AD36BD">
        <w:rPr>
          <w:rFonts w:ascii="Courier New" w:eastAsia="Times New Roman" w:hAnsi="Courier New" w:cs="Times New Roman"/>
          <w:snapToGrid w:val="0"/>
          <w:sz w:val="24"/>
          <w:szCs w:val="20"/>
          <w:lang w:eastAsia="pt-BR"/>
        </w:rPr>
        <w:t>Art. 3º Esta Emenda Constitucional entra em vigor na data de sua publicação.</w:t>
      </w:r>
    </w:p>
    <w:p w:rsidR="00AD36BD" w:rsidRPr="00AD36BD" w:rsidRDefault="00AD36BD" w:rsidP="00AD36BD">
      <w:pPr>
        <w:tabs>
          <w:tab w:val="left" w:leader="dot" w:pos="8505"/>
        </w:tabs>
        <w:suppressAutoHyphens/>
        <w:spacing w:after="0" w:line="360" w:lineRule="auto"/>
        <w:ind w:firstLine="1418"/>
        <w:jc w:val="both"/>
        <w:rPr>
          <w:rFonts w:ascii="Courier New" w:eastAsia="Times New Roman" w:hAnsi="Courier New" w:cs="Times New Roman"/>
          <w:snapToGrid w:val="0"/>
          <w:sz w:val="24"/>
          <w:szCs w:val="20"/>
          <w:lang w:eastAsia="pt-BR"/>
        </w:rPr>
      </w:pPr>
      <w:r w:rsidRPr="00AD36BD">
        <w:rPr>
          <w:rFonts w:ascii="Courier New" w:eastAsia="Times New Roman" w:hAnsi="Courier New" w:cs="Times New Roman"/>
          <w:snapToGrid w:val="0"/>
          <w:sz w:val="24"/>
          <w:szCs w:val="20"/>
          <w:lang w:eastAsia="pt-BR"/>
        </w:rPr>
        <w:t>Sala das Sessões, em 13 de julho de 2022.</w:t>
      </w:r>
    </w:p>
    <w:p w:rsidR="00AD36BD" w:rsidRPr="00AD36BD" w:rsidRDefault="00AD36BD" w:rsidP="00AD36BD">
      <w:pPr>
        <w:suppressAutoHyphens/>
        <w:spacing w:after="0" w:line="240" w:lineRule="auto"/>
        <w:jc w:val="center"/>
        <w:rPr>
          <w:rFonts w:ascii="Courier New" w:eastAsia="Times New Roman" w:hAnsi="Courier New" w:cs="Times New Roman"/>
          <w:snapToGrid w:val="0"/>
          <w:sz w:val="24"/>
          <w:szCs w:val="20"/>
          <w:lang w:eastAsia="pt-BR"/>
        </w:rPr>
      </w:pPr>
    </w:p>
    <w:p w:rsidR="00AD36BD" w:rsidRPr="00AD36BD" w:rsidRDefault="00AD36BD" w:rsidP="00AD36BD">
      <w:pPr>
        <w:suppressAutoHyphens/>
        <w:spacing w:after="0" w:line="240" w:lineRule="auto"/>
        <w:jc w:val="center"/>
        <w:rPr>
          <w:rFonts w:ascii="Courier New" w:eastAsia="Times New Roman" w:hAnsi="Courier New" w:cs="Times New Roman"/>
          <w:snapToGrid w:val="0"/>
          <w:sz w:val="24"/>
          <w:szCs w:val="20"/>
          <w:lang w:eastAsia="pt-BR"/>
        </w:rPr>
      </w:pPr>
    </w:p>
    <w:p w:rsidR="00AD36BD" w:rsidRPr="00AD36BD" w:rsidRDefault="00AD36BD" w:rsidP="00AD36BD">
      <w:pPr>
        <w:suppressAutoHyphens/>
        <w:spacing w:after="0" w:line="240" w:lineRule="auto"/>
        <w:jc w:val="center"/>
        <w:rPr>
          <w:rFonts w:ascii="Courier New" w:eastAsia="Times New Roman" w:hAnsi="Courier New" w:cs="Times New Roman"/>
          <w:snapToGrid w:val="0"/>
          <w:sz w:val="24"/>
          <w:szCs w:val="20"/>
          <w:lang w:eastAsia="pt-BR"/>
        </w:rPr>
      </w:pPr>
    </w:p>
    <w:p w:rsidR="00AD36BD" w:rsidRPr="00AD36BD" w:rsidRDefault="00AD36BD" w:rsidP="00AD36BD">
      <w:pPr>
        <w:suppressAutoHyphens/>
        <w:spacing w:after="0" w:line="240" w:lineRule="auto"/>
        <w:jc w:val="center"/>
        <w:rPr>
          <w:rFonts w:ascii="Courier New" w:eastAsia="Times New Roman" w:hAnsi="Courier New" w:cs="Times New Roman"/>
          <w:snapToGrid w:val="0"/>
          <w:sz w:val="24"/>
          <w:szCs w:val="20"/>
          <w:lang w:eastAsia="pt-BR"/>
        </w:rPr>
      </w:pPr>
      <w:r w:rsidRPr="00AD36BD">
        <w:rPr>
          <w:rFonts w:ascii="Courier New" w:eastAsia="Times New Roman" w:hAnsi="Courier New" w:cs="Times New Roman"/>
          <w:snapToGrid w:val="0"/>
          <w:sz w:val="24"/>
          <w:szCs w:val="20"/>
          <w:lang w:eastAsia="pt-BR"/>
        </w:rPr>
        <w:t>Deputada BIA KICIS</w:t>
      </w:r>
    </w:p>
    <w:p w:rsidR="0020766D" w:rsidRPr="00256E1C" w:rsidRDefault="00AD36BD" w:rsidP="00256E1C">
      <w:pPr>
        <w:suppressAutoHyphens/>
        <w:spacing w:after="0" w:line="240" w:lineRule="auto"/>
        <w:jc w:val="center"/>
        <w:rPr>
          <w:rFonts w:ascii="Courier New" w:eastAsia="Times New Roman" w:hAnsi="Courier New" w:cs="Times New Roman"/>
          <w:sz w:val="24"/>
          <w:szCs w:val="20"/>
          <w:lang w:eastAsia="pt-BR"/>
        </w:rPr>
      </w:pPr>
      <w:r w:rsidRPr="00AD36BD">
        <w:rPr>
          <w:rFonts w:ascii="Courier New" w:eastAsia="Times New Roman" w:hAnsi="Courier New" w:cs="Times New Roman"/>
          <w:snapToGrid w:val="0"/>
          <w:sz w:val="24"/>
          <w:szCs w:val="20"/>
          <w:lang w:eastAsia="pt-BR"/>
        </w:rPr>
        <w:t>Relatora</w:t>
      </w:r>
      <w:bookmarkStart w:id="0" w:name="_GoBack"/>
      <w:bookmarkEnd w:id="0"/>
    </w:p>
    <w:sectPr w:rsidR="0020766D" w:rsidRPr="00256E1C" w:rsidSect="00DA322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701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256E1C">
      <w:pPr>
        <w:spacing w:after="0" w:line="240" w:lineRule="auto"/>
      </w:pPr>
      <w:r>
        <w:separator/>
      </w:r>
    </w:p>
  </w:endnote>
  <w:endnote w:type="continuationSeparator" w:id="0">
    <w:p w:rsidR="00000000" w:rsidRDefault="00256E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044" w:rsidRDefault="00087285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C4044" w:rsidRDefault="00256E1C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044" w:rsidRDefault="00256E1C">
    <w:pPr>
      <w:pStyle w:val="Rodap"/>
      <w:framePr w:wrap="around" w:vAnchor="text" w:hAnchor="margin" w:xAlign="right" w:y="1"/>
      <w:rPr>
        <w:rStyle w:val="Nmerodepgina"/>
      </w:rPr>
    </w:pPr>
  </w:p>
  <w:p w:rsidR="000C4044" w:rsidRDefault="00256E1C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256E1C">
      <w:pPr>
        <w:spacing w:after="0" w:line="240" w:lineRule="auto"/>
      </w:pPr>
      <w:r>
        <w:separator/>
      </w:r>
    </w:p>
  </w:footnote>
  <w:footnote w:type="continuationSeparator" w:id="0">
    <w:p w:rsidR="00000000" w:rsidRDefault="00256E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044" w:rsidRDefault="00087285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C4044" w:rsidRDefault="00256E1C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044" w:rsidRDefault="00087285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56E1C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0C4044" w:rsidRDefault="00087285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  <w:lang w:eastAsia="pt-BR"/>
      </w:rPr>
      <mc:AlternateContent>
        <mc:Choice Requires="wpg">
          <w:drawing>
            <wp:anchor distT="0" distB="0" distL="114300" distR="114300" simplePos="0" relativeHeight="251660288" behindDoc="0" locked="0" layoutInCell="0" allowOverlap="1" wp14:anchorId="64F477A8" wp14:editId="119F507C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C4044" w:rsidRDefault="00087285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4F477A8" id="Group 4" o:spid="_x0000_s1026" style="position:absolute;left:0;text-align:left;margin-left:-36.2pt;margin-top:34.7pt;width:240.95pt;height:64.35pt;z-index:25166028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0C4044" w:rsidRDefault="00087285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044" w:rsidRDefault="00087285">
    <w:pPr>
      <w:pStyle w:val="Cabealho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0" allowOverlap="1" wp14:anchorId="27DF6078" wp14:editId="3F8490A5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C4044" w:rsidRDefault="00087285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7DF6078" id="Group 1" o:spid="_x0000_s1029" style="position:absolute;margin-left:-48.2pt;margin-top:22.7pt;width:240.95pt;height:64.35pt;z-index:251659264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0C4044" w:rsidRDefault="00087285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 xml:space="preserve">C Â M A R A   D O S   D E P U T A </w:t>
                      </w:r>
                      <w:r>
                        <w:rPr>
                          <w:rFonts w:ascii="Arial" w:hAnsi="Arial"/>
                          <w:sz w:val="18"/>
                        </w:rPr>
                        <w:t>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36BD"/>
    <w:rsid w:val="00087285"/>
    <w:rsid w:val="0020766D"/>
    <w:rsid w:val="00256E1C"/>
    <w:rsid w:val="00266034"/>
    <w:rsid w:val="002A6467"/>
    <w:rsid w:val="00381E63"/>
    <w:rsid w:val="00482218"/>
    <w:rsid w:val="004F65AD"/>
    <w:rsid w:val="00591FAC"/>
    <w:rsid w:val="007249EE"/>
    <w:rsid w:val="007B32FD"/>
    <w:rsid w:val="00840141"/>
    <w:rsid w:val="008A7A67"/>
    <w:rsid w:val="009D6663"/>
    <w:rsid w:val="00A4767C"/>
    <w:rsid w:val="00AC2F85"/>
    <w:rsid w:val="00AD36BD"/>
    <w:rsid w:val="00C523CE"/>
    <w:rsid w:val="00EF6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5D8010-C09F-49E8-9C94-8882AF55A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semiHidden/>
    <w:unhideWhenUsed/>
    <w:rsid w:val="00AD36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AD36BD"/>
  </w:style>
  <w:style w:type="paragraph" w:styleId="Cabealho">
    <w:name w:val="header"/>
    <w:basedOn w:val="Normal"/>
    <w:link w:val="CabealhoChar"/>
    <w:uiPriority w:val="99"/>
    <w:semiHidden/>
    <w:unhideWhenUsed/>
    <w:rsid w:val="00AD36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AD36BD"/>
  </w:style>
  <w:style w:type="character" w:styleId="Nmerodepgina">
    <w:name w:val="page number"/>
    <w:basedOn w:val="Fontepargpadro"/>
    <w:semiHidden/>
    <w:rsid w:val="00AD36BD"/>
  </w:style>
  <w:style w:type="paragraph" w:customStyle="1" w:styleId="texto2">
    <w:name w:val="texto 2"/>
    <w:basedOn w:val="Normal"/>
    <w:qFormat/>
    <w:rsid w:val="00087285"/>
    <w:pPr>
      <w:tabs>
        <w:tab w:val="left" w:leader="dot" w:pos="8505"/>
      </w:tabs>
      <w:suppressAutoHyphens/>
      <w:spacing w:after="0" w:line="360" w:lineRule="auto"/>
      <w:ind w:left="1418" w:firstLine="1418"/>
      <w:jc w:val="both"/>
    </w:pPr>
    <w:rPr>
      <w:rFonts w:ascii="Courier New" w:eastAsia="Times New Roman" w:hAnsi="Courier New" w:cs="Times New Roman"/>
      <w:snapToGrid w:val="0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280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ccjc</dc:creator>
  <cp:keywords/>
  <dc:description/>
  <cp:lastModifiedBy>ccjc</cp:lastModifiedBy>
  <cp:revision>3</cp:revision>
  <dcterms:created xsi:type="dcterms:W3CDTF">2022-07-14T18:04:00Z</dcterms:created>
  <dcterms:modified xsi:type="dcterms:W3CDTF">2022-07-14T18:04:00Z</dcterms:modified>
</cp:coreProperties>
</file>