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E35DED">
        <w:rPr>
          <w:rFonts w:ascii="Arial" w:hAnsi="Arial" w:cs="Arial"/>
          <w:color w:val="000000"/>
          <w:sz w:val="24"/>
        </w:rPr>
        <w:t>4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E35DED">
        <w:rPr>
          <w:rFonts w:ascii="Arial" w:hAnsi="Arial" w:cs="Arial"/>
          <w:color w:val="000000"/>
          <w:sz w:val="24"/>
        </w:rPr>
        <w:t>182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E35DED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E35DED">
        <w:rPr>
          <w:rFonts w:ascii="Arial" w:hAnsi="Arial" w:cs="Arial"/>
          <w:color w:val="000000"/>
          <w:sz w:val="24"/>
        </w:rPr>
        <w:t>14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E35DED">
        <w:rPr>
          <w:rFonts w:ascii="Arial" w:hAnsi="Arial" w:cs="Arial"/>
          <w:color w:val="000000"/>
          <w:sz w:val="24"/>
        </w:rPr>
        <w:t>jun</w:t>
      </w:r>
      <w:r w:rsidR="00F11EFE">
        <w:rPr>
          <w:rFonts w:ascii="Arial" w:hAnsi="Arial" w:cs="Arial"/>
          <w:color w:val="000000"/>
          <w:sz w:val="24"/>
        </w:rPr>
        <w:t>ho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E35DED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DA34E4">
      <w:pPr>
        <w:jc w:val="both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DA34E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DA34E4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</w:t>
      </w:r>
      <w:r w:rsidR="00F11EFE">
        <w:rPr>
          <w:rFonts w:ascii="Arial" w:eastAsia="Arial Unicode MS" w:hAnsi="Arial" w:cs="Arial"/>
          <w:sz w:val="24"/>
        </w:rPr>
        <w:t>proposição com pareceres divergentes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</w:r>
      <w:r w:rsidR="00F11EFE" w:rsidRPr="00F11EFE">
        <w:rPr>
          <w:rFonts w:ascii="Arial" w:eastAsia="Arial Unicode MS" w:hAnsi="Arial" w:cs="Arial"/>
          <w:sz w:val="24"/>
        </w:rPr>
        <w:t xml:space="preserve">Comunico a Vossa Excelência que o </w:t>
      </w:r>
      <w:r w:rsidR="00F11EFE" w:rsidRPr="00F11EFE">
        <w:rPr>
          <w:rFonts w:ascii="Arial" w:eastAsia="Arial Unicode MS" w:hAnsi="Arial" w:cs="Arial"/>
          <w:b/>
          <w:sz w:val="24"/>
        </w:rPr>
        <w:t xml:space="preserve">Projeto de Lei nº </w:t>
      </w:r>
      <w:r w:rsidR="00E35DED">
        <w:rPr>
          <w:rFonts w:ascii="Arial" w:eastAsia="Arial Unicode MS" w:hAnsi="Arial" w:cs="Arial"/>
          <w:b/>
          <w:sz w:val="24"/>
        </w:rPr>
        <w:t>2.196</w:t>
      </w:r>
      <w:r w:rsidR="00F11EFE" w:rsidRPr="00F11EFE">
        <w:rPr>
          <w:rFonts w:ascii="Arial" w:eastAsia="Arial Unicode MS" w:hAnsi="Arial" w:cs="Arial"/>
          <w:b/>
          <w:sz w:val="24"/>
        </w:rPr>
        <w:t>/201</w:t>
      </w:r>
      <w:r w:rsidR="00E35DED">
        <w:rPr>
          <w:rFonts w:ascii="Arial" w:eastAsia="Arial Unicode MS" w:hAnsi="Arial" w:cs="Arial"/>
          <w:b/>
          <w:sz w:val="24"/>
        </w:rPr>
        <w:t>9</w:t>
      </w:r>
      <w:r w:rsidR="009366D9">
        <w:rPr>
          <w:rFonts w:ascii="Arial" w:eastAsia="Arial Unicode MS" w:hAnsi="Arial" w:cs="Arial"/>
          <w:sz w:val="24"/>
        </w:rPr>
        <w:t>, do</w:t>
      </w:r>
      <w:r w:rsidR="00F11EFE">
        <w:rPr>
          <w:rFonts w:ascii="Arial" w:eastAsia="Arial Unicode MS" w:hAnsi="Arial" w:cs="Arial"/>
          <w:sz w:val="24"/>
        </w:rPr>
        <w:t xml:space="preserve"> Sr</w:t>
      </w:r>
      <w:r w:rsidR="00F11EFE" w:rsidRPr="00F11EFE">
        <w:rPr>
          <w:rFonts w:ascii="Arial" w:eastAsia="Arial Unicode MS" w:hAnsi="Arial" w:cs="Arial"/>
          <w:sz w:val="24"/>
        </w:rPr>
        <w:t xml:space="preserve">. </w:t>
      </w:r>
      <w:r w:rsidR="00E35DED">
        <w:rPr>
          <w:rFonts w:ascii="Arial" w:eastAsia="Arial Unicode MS" w:hAnsi="Arial" w:cs="Arial"/>
          <w:sz w:val="24"/>
        </w:rPr>
        <w:t xml:space="preserve">Frei </w:t>
      </w:r>
      <w:proofErr w:type="spellStart"/>
      <w:r w:rsidR="00E35DED">
        <w:rPr>
          <w:rFonts w:ascii="Arial" w:eastAsia="Arial Unicode MS" w:hAnsi="Arial" w:cs="Arial"/>
          <w:sz w:val="24"/>
        </w:rPr>
        <w:t>Anastacio</w:t>
      </w:r>
      <w:proofErr w:type="spellEnd"/>
      <w:r w:rsidR="00E35DED">
        <w:rPr>
          <w:rFonts w:ascii="Arial" w:eastAsia="Arial Unicode MS" w:hAnsi="Arial" w:cs="Arial"/>
          <w:sz w:val="24"/>
        </w:rPr>
        <w:t xml:space="preserve"> Ribeiro</w:t>
      </w:r>
      <w:r w:rsidR="00F11EFE" w:rsidRPr="00F11EFE">
        <w:rPr>
          <w:rFonts w:ascii="Arial" w:eastAsia="Arial Unicode MS" w:hAnsi="Arial" w:cs="Arial"/>
          <w:sz w:val="24"/>
        </w:rPr>
        <w:t>, que “</w:t>
      </w:r>
      <w:r w:rsidR="00E35DED" w:rsidRPr="00E35DED">
        <w:rPr>
          <w:rFonts w:ascii="Arial" w:eastAsia="Arial Unicode MS" w:hAnsi="Arial" w:cs="Arial"/>
          <w:sz w:val="24"/>
        </w:rPr>
        <w:t>Institui o Dia Nacional de Combate aos Agrotóxicos</w:t>
      </w:r>
      <w:r w:rsidR="009366D9" w:rsidRPr="00F11EFE">
        <w:rPr>
          <w:rFonts w:ascii="Arial" w:eastAsia="Arial Unicode MS" w:hAnsi="Arial" w:cs="Arial"/>
          <w:sz w:val="24"/>
        </w:rPr>
        <w:t>”</w:t>
      </w:r>
      <w:r w:rsidR="00F11EFE" w:rsidRPr="00F11EFE">
        <w:rPr>
          <w:rFonts w:ascii="Arial" w:eastAsia="Arial Unicode MS" w:hAnsi="Arial" w:cs="Arial"/>
          <w:sz w:val="24"/>
        </w:rPr>
        <w:t xml:space="preserve">, despachado às Comissões para apreciação conclusiva, decaiu dessa condição por ter recebido </w:t>
      </w:r>
      <w:r w:rsidR="00F11EFE" w:rsidRPr="00603D31">
        <w:rPr>
          <w:rFonts w:ascii="Arial" w:eastAsia="Arial Unicode MS" w:hAnsi="Arial" w:cs="Arial"/>
          <w:b/>
          <w:sz w:val="24"/>
        </w:rPr>
        <w:t>pareceres divergentes</w:t>
      </w:r>
      <w:r w:rsidR="00F11EFE" w:rsidRPr="00F11EFE">
        <w:rPr>
          <w:rFonts w:ascii="Arial" w:eastAsia="Arial Unicode MS" w:hAnsi="Arial" w:cs="Arial"/>
          <w:sz w:val="24"/>
        </w:rPr>
        <w:t xml:space="preserve"> nas comissões que lhe apreciaram o mérito. Em consequência, estará sujeito à apreciação do Plenário, com base</w:t>
      </w:r>
      <w:r w:rsidR="00F11EFE">
        <w:rPr>
          <w:rFonts w:ascii="Arial" w:eastAsia="Arial Unicode MS" w:hAnsi="Arial" w:cs="Arial"/>
          <w:sz w:val="24"/>
        </w:rPr>
        <w:t xml:space="preserve"> </w:t>
      </w:r>
      <w:r w:rsidR="00F11EFE" w:rsidRPr="00F11EFE">
        <w:rPr>
          <w:rFonts w:ascii="Arial" w:eastAsia="Arial Unicode MS" w:hAnsi="Arial" w:cs="Arial"/>
          <w:sz w:val="24"/>
        </w:rPr>
        <w:t>na alínea “g” do inciso II do art. 24 do Regimento Interno da Câmara dos Deputados.</w:t>
      </w:r>
    </w:p>
    <w:p w:rsidR="00DA34E4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9366D9" w:rsidRDefault="009366D9" w:rsidP="00DA34E4">
      <w:pPr>
        <w:jc w:val="center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35DED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proofErr w:type="spellStart"/>
      <w:r w:rsidR="00E35DED">
        <w:rPr>
          <w:rFonts w:ascii="Arial" w:hAnsi="Arial" w:cs="Arial"/>
          <w:b/>
          <w:sz w:val="24"/>
        </w:rPr>
        <w:t>Giacobo</w:t>
      </w:r>
      <w:proofErr w:type="spellEnd"/>
      <w:r w:rsidRPr="007E35F6">
        <w:rPr>
          <w:rFonts w:ascii="Arial" w:hAnsi="Arial" w:cs="Arial"/>
          <w:b/>
          <w:sz w:val="24"/>
        </w:rPr>
        <w:t xml:space="preserve"> </w:t>
      </w:r>
    </w:p>
    <w:p w:rsidR="00DA34E4" w:rsidRPr="00C013B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  <w:bookmarkStart w:id="0" w:name="_GoBack"/>
      <w:bookmarkEnd w:id="0"/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3D31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366D9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5DED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1EFE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CB1A4-3EF4-474E-A40B-840A5CD1C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8</cp:revision>
  <cp:lastPrinted>2017-08-30T17:43:00Z</cp:lastPrinted>
  <dcterms:created xsi:type="dcterms:W3CDTF">2021-03-31T15:01:00Z</dcterms:created>
  <dcterms:modified xsi:type="dcterms:W3CDTF">2022-06-14T18:24:00Z</dcterms:modified>
</cp:coreProperties>
</file>