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044" w:rsidRPr="009777AA" w:rsidRDefault="000C4044" w:rsidP="004444DE">
      <w:pPr>
        <w:pStyle w:val="cabea"/>
        <w:rPr>
          <w:rFonts w:cs="Courier New"/>
          <w:b w:val="0"/>
          <w:snapToGrid w:val="0"/>
          <w:szCs w:val="24"/>
        </w:rPr>
      </w:pPr>
      <w:r w:rsidRPr="009777AA">
        <w:rPr>
          <w:rFonts w:cs="Courier New"/>
          <w:b w:val="0"/>
          <w:snapToGrid w:val="0"/>
          <w:szCs w:val="24"/>
        </w:rPr>
        <w:t>redação final</w:t>
      </w:r>
    </w:p>
    <w:p w:rsidR="000C4044" w:rsidRPr="009777AA" w:rsidRDefault="000C4044" w:rsidP="004444DE">
      <w:pPr>
        <w:pStyle w:val="cabea"/>
        <w:rPr>
          <w:rFonts w:cs="Courier New"/>
          <w:b w:val="0"/>
          <w:snapToGrid w:val="0"/>
          <w:szCs w:val="24"/>
        </w:rPr>
      </w:pPr>
      <w:r w:rsidRPr="009777AA">
        <w:rPr>
          <w:rFonts w:cs="Courier New"/>
          <w:b w:val="0"/>
          <w:snapToGrid w:val="0"/>
          <w:szCs w:val="24"/>
        </w:rPr>
        <w:t xml:space="preserve">PROPOSTA DE emenda à constituição nº </w:t>
      </w:r>
      <w:r w:rsidR="00A34C51">
        <w:rPr>
          <w:rFonts w:cs="Courier New"/>
          <w:b w:val="0"/>
          <w:snapToGrid w:val="0"/>
          <w:szCs w:val="24"/>
        </w:rPr>
        <w:t>39</w:t>
      </w:r>
      <w:r w:rsidRPr="009777AA">
        <w:rPr>
          <w:rFonts w:cs="Courier New"/>
          <w:b w:val="0"/>
          <w:snapToGrid w:val="0"/>
          <w:szCs w:val="24"/>
        </w:rPr>
        <w:t>-</w:t>
      </w:r>
      <w:r w:rsidR="00225B3C">
        <w:rPr>
          <w:rFonts w:cs="Courier New"/>
          <w:b w:val="0"/>
          <w:snapToGrid w:val="0"/>
          <w:szCs w:val="24"/>
        </w:rPr>
        <w:t>C</w:t>
      </w:r>
      <w:r w:rsidRPr="009777AA">
        <w:rPr>
          <w:rFonts w:cs="Courier New"/>
          <w:b w:val="0"/>
          <w:snapToGrid w:val="0"/>
          <w:szCs w:val="24"/>
        </w:rPr>
        <w:t xml:space="preserve"> de </w:t>
      </w:r>
      <w:r w:rsidR="00A34C51">
        <w:rPr>
          <w:rFonts w:cs="Courier New"/>
          <w:b w:val="0"/>
          <w:snapToGrid w:val="0"/>
          <w:szCs w:val="24"/>
        </w:rPr>
        <w:t>2011</w:t>
      </w:r>
    </w:p>
    <w:p w:rsidR="006704B2" w:rsidRPr="009777AA" w:rsidRDefault="006704B2" w:rsidP="009777AA">
      <w:pPr>
        <w:pStyle w:val="texto1"/>
        <w:rPr>
          <w:rFonts w:cs="Courier New"/>
          <w:szCs w:val="24"/>
        </w:rPr>
      </w:pPr>
    </w:p>
    <w:p w:rsidR="002601DF" w:rsidRPr="009777AA" w:rsidRDefault="00A34C51" w:rsidP="002601DF">
      <w:pPr>
        <w:pStyle w:val="ementa"/>
        <w:rPr>
          <w:rFonts w:cs="Courier New"/>
          <w:b w:val="0"/>
          <w:szCs w:val="24"/>
        </w:rPr>
      </w:pPr>
      <w:r w:rsidRPr="00A34C51">
        <w:rPr>
          <w:rFonts w:cs="Courier New"/>
          <w:b w:val="0"/>
          <w:szCs w:val="24"/>
        </w:rPr>
        <w:t xml:space="preserve">Revoga o inciso VII do </w:t>
      </w:r>
      <w:r w:rsidR="00ED3B20" w:rsidRPr="00225B3C">
        <w:rPr>
          <w:rFonts w:cs="Courier New"/>
          <w:b w:val="0"/>
          <w:i/>
          <w:szCs w:val="24"/>
        </w:rPr>
        <w:t>caput</w:t>
      </w:r>
      <w:r w:rsidR="00ED3B20">
        <w:rPr>
          <w:rFonts w:cs="Courier New"/>
          <w:b w:val="0"/>
          <w:szCs w:val="24"/>
        </w:rPr>
        <w:t xml:space="preserve"> do </w:t>
      </w:r>
      <w:r w:rsidRPr="00A34C51">
        <w:rPr>
          <w:rFonts w:cs="Courier New"/>
          <w:b w:val="0"/>
          <w:szCs w:val="24"/>
        </w:rPr>
        <w:t>art. 20 da Constituição Federal e o § 3º do art. 49 do Ato das Disposições Constitucionais Transitórias</w:t>
      </w:r>
      <w:r w:rsidR="00ED3B20">
        <w:rPr>
          <w:rFonts w:cs="Courier New"/>
          <w:b w:val="0"/>
          <w:szCs w:val="24"/>
        </w:rPr>
        <w:t>;</w:t>
      </w:r>
      <w:r w:rsidRPr="00A34C51">
        <w:rPr>
          <w:rFonts w:cs="Courier New"/>
          <w:b w:val="0"/>
          <w:szCs w:val="24"/>
        </w:rPr>
        <w:t xml:space="preserve"> e dá outras providências.</w:t>
      </w:r>
    </w:p>
    <w:p w:rsidR="002601DF" w:rsidRPr="009777AA" w:rsidRDefault="002601DF" w:rsidP="009777AA">
      <w:pPr>
        <w:pStyle w:val="texto1"/>
        <w:rPr>
          <w:rFonts w:cs="Courier New"/>
          <w:szCs w:val="24"/>
        </w:rPr>
      </w:pPr>
    </w:p>
    <w:p w:rsidR="002601DF" w:rsidRPr="009777AA" w:rsidRDefault="002601DF" w:rsidP="002601DF">
      <w:pPr>
        <w:pStyle w:val="texto10"/>
        <w:suppressAutoHyphens/>
        <w:spacing w:line="240" w:lineRule="auto"/>
        <w:rPr>
          <w:rFonts w:cs="Courier New"/>
          <w:szCs w:val="24"/>
        </w:rPr>
      </w:pPr>
      <w:r w:rsidRPr="009777AA">
        <w:rPr>
          <w:rFonts w:cs="Courier New"/>
          <w:szCs w:val="24"/>
        </w:rPr>
        <w:t>AS MESAS DA CÂMARA DOS DEPUTADOS E DO SENADO FEDERAL, nos termos do § 3º do art. 60 da Constituição Federal, promulgam a seguinte Emenda ao texto constitucional:</w:t>
      </w:r>
    </w:p>
    <w:p w:rsidR="002601DF" w:rsidRPr="002601DF" w:rsidRDefault="002601DF" w:rsidP="002601DF">
      <w:pPr>
        <w:pStyle w:val="texto1"/>
      </w:pPr>
    </w:p>
    <w:p w:rsidR="00A34C51" w:rsidRDefault="00225B3C" w:rsidP="00A34C51">
      <w:pPr>
        <w:pStyle w:val="texto1"/>
      </w:pPr>
      <w:r>
        <w:t>Art. 1</w:t>
      </w:r>
      <w:r w:rsidR="00A34C51">
        <w:t xml:space="preserve">º As áreas definidas como terrenos de marinha e seus acrescidos </w:t>
      </w:r>
      <w:bookmarkStart w:id="0" w:name="_GoBack"/>
      <w:bookmarkEnd w:id="0"/>
      <w:r w:rsidR="00A34C51">
        <w:t>passam a ter sua propriedade assim estabelecida:</w:t>
      </w:r>
    </w:p>
    <w:p w:rsidR="00A34C51" w:rsidRDefault="00A34C51" w:rsidP="00A34C51">
      <w:pPr>
        <w:pStyle w:val="texto1"/>
      </w:pPr>
      <w:r>
        <w:t xml:space="preserve">I – </w:t>
      </w:r>
      <w:proofErr w:type="gramStart"/>
      <w:r>
        <w:t>continuam</w:t>
      </w:r>
      <w:proofErr w:type="gramEnd"/>
      <w:r>
        <w:t xml:space="preserve"> sob o domínio da União as áreas afetadas ao serviço público federal, inclusive as destinadas à utilização por concessionárias e permissionárias de serviços públicos</w:t>
      </w:r>
      <w:r w:rsidR="007633F8">
        <w:t xml:space="preserve"> e a</w:t>
      </w:r>
      <w:r>
        <w:t xml:space="preserve"> unidades ambientais federais</w:t>
      </w:r>
      <w:r w:rsidR="007633F8">
        <w:t>,</w:t>
      </w:r>
      <w:r>
        <w:t xml:space="preserve"> e as áreas não ocupadas;</w:t>
      </w:r>
    </w:p>
    <w:p w:rsidR="00A34C51" w:rsidRDefault="00A34C51" w:rsidP="00A34C51">
      <w:pPr>
        <w:pStyle w:val="texto1"/>
      </w:pPr>
      <w:r>
        <w:t xml:space="preserve">II – </w:t>
      </w:r>
      <w:proofErr w:type="gramStart"/>
      <w:r w:rsidRPr="00225B3C">
        <w:t>passa</w:t>
      </w:r>
      <w:r w:rsidR="001334E1" w:rsidRPr="00225B3C">
        <w:t>m</w:t>
      </w:r>
      <w:proofErr w:type="gramEnd"/>
      <w:r>
        <w:t xml:space="preserve"> ao domínio pleno dos respectivos Estados e Municípios as áreas afetadas ao serviço público estadual e municipal, inclusive as destinadas à utilização por concessionárias e permissionárias de serviços públicos;</w:t>
      </w:r>
    </w:p>
    <w:p w:rsidR="00A34C51" w:rsidRDefault="00A34C51" w:rsidP="00A34C51">
      <w:pPr>
        <w:pStyle w:val="texto1"/>
      </w:pPr>
      <w:r>
        <w:t>III – passa</w:t>
      </w:r>
      <w:r w:rsidR="001334E1">
        <w:t>m</w:t>
      </w:r>
      <w:r>
        <w:t xml:space="preserve"> ao domínio pleno dos foreiros e </w:t>
      </w:r>
      <w:r w:rsidR="001334E1">
        <w:t xml:space="preserve">dos </w:t>
      </w:r>
      <w:r>
        <w:t xml:space="preserve">ocupantes regularmente inscritos </w:t>
      </w:r>
      <w:r w:rsidR="00225B3C">
        <w:t>n</w:t>
      </w:r>
      <w:r>
        <w:t>o órgão de gestão do patrimônio da União até a data de publicação desta Emenda Constitucional;</w:t>
      </w:r>
    </w:p>
    <w:p w:rsidR="00A34C51" w:rsidRDefault="00225B3C" w:rsidP="00A34C51">
      <w:pPr>
        <w:pStyle w:val="texto1"/>
      </w:pPr>
      <w:r>
        <w:t xml:space="preserve">IV – </w:t>
      </w:r>
      <w:proofErr w:type="gramStart"/>
      <w:r>
        <w:t>passam</w:t>
      </w:r>
      <w:proofErr w:type="gramEnd"/>
      <w:r w:rsidR="00A34C51">
        <w:t xml:space="preserve"> ao domínio dos ocupantes não inscritos, desde que a ocupação tenha ocorrido </w:t>
      </w:r>
      <w:r w:rsidR="00875A29" w:rsidRPr="009014F8">
        <w:t>pelo menos</w:t>
      </w:r>
      <w:r w:rsidR="00A34C51">
        <w:t xml:space="preserve"> </w:t>
      </w:r>
      <w:r w:rsidR="001334E1">
        <w:t>5 (</w:t>
      </w:r>
      <w:r w:rsidR="00A34C51">
        <w:t>cinco</w:t>
      </w:r>
      <w:r w:rsidR="001334E1">
        <w:t>)</w:t>
      </w:r>
      <w:r w:rsidR="00A34C51">
        <w:t xml:space="preserve"> anos antes da data de publicação desta Emenda Constitucional e seja formalmente comprovada a boa-fé;</w:t>
      </w:r>
    </w:p>
    <w:p w:rsidR="00A34C51" w:rsidRDefault="00225B3C" w:rsidP="00A34C51">
      <w:pPr>
        <w:pStyle w:val="texto1"/>
      </w:pPr>
      <w:r>
        <w:lastRenderedPageBreak/>
        <w:t xml:space="preserve">V – </w:t>
      </w:r>
      <w:proofErr w:type="gramStart"/>
      <w:r>
        <w:t>passam</w:t>
      </w:r>
      <w:proofErr w:type="gramEnd"/>
      <w:r w:rsidR="00A34C51">
        <w:t xml:space="preserve"> aos cessionários as áreas que lhes foram cedidas pela União.</w:t>
      </w:r>
    </w:p>
    <w:p w:rsidR="00A34C51" w:rsidRDefault="00A34C51" w:rsidP="00A34C51">
      <w:pPr>
        <w:pStyle w:val="texto1"/>
      </w:pPr>
      <w:r>
        <w:t>§ 1º A transferência das áreas de que trata este artigo será realizada de forma:</w:t>
      </w:r>
    </w:p>
    <w:p w:rsidR="00A34C51" w:rsidRDefault="00A34C51" w:rsidP="00A34C51">
      <w:pPr>
        <w:pStyle w:val="texto1"/>
      </w:pPr>
      <w:r>
        <w:t xml:space="preserve">I – </w:t>
      </w:r>
      <w:proofErr w:type="gramStart"/>
      <w:r>
        <w:t>gratuita</w:t>
      </w:r>
      <w:proofErr w:type="gramEnd"/>
      <w:r>
        <w:t xml:space="preserve">, no caso das áreas ocupadas por habitação de interesse social e das áreas de que trata o inciso II do </w:t>
      </w:r>
      <w:r w:rsidRPr="002630BF">
        <w:rPr>
          <w:i/>
        </w:rPr>
        <w:t>caput</w:t>
      </w:r>
      <w:r>
        <w:t xml:space="preserve"> deste artigo;</w:t>
      </w:r>
    </w:p>
    <w:p w:rsidR="00A34C51" w:rsidRDefault="00A34C51" w:rsidP="00A34C51">
      <w:pPr>
        <w:pStyle w:val="texto1"/>
      </w:pPr>
      <w:r>
        <w:t xml:space="preserve">II – </w:t>
      </w:r>
      <w:proofErr w:type="gramStart"/>
      <w:r>
        <w:t>onerosa</w:t>
      </w:r>
      <w:proofErr w:type="gramEnd"/>
      <w:r>
        <w:t xml:space="preserve">, nos demais casos, conforme procedimento adotado pela União nos </w:t>
      </w:r>
      <w:r w:rsidRPr="000332DD">
        <w:t xml:space="preserve">termos do </w:t>
      </w:r>
      <w:r w:rsidR="000332DD" w:rsidRPr="000332DD">
        <w:t>art. 3</w:t>
      </w:r>
      <w:r w:rsidRPr="000332DD">
        <w:t>º desta</w:t>
      </w:r>
      <w:r>
        <w:t xml:space="preserve"> Emenda</w:t>
      </w:r>
      <w:r w:rsidR="001334E1">
        <w:t xml:space="preserve"> Constitucional</w:t>
      </w:r>
      <w:r>
        <w:t>.</w:t>
      </w:r>
    </w:p>
    <w:p w:rsidR="00A34C51" w:rsidRDefault="00A34C51" w:rsidP="00A34C51">
      <w:pPr>
        <w:pStyle w:val="texto1"/>
      </w:pPr>
      <w:r>
        <w:t xml:space="preserve">§ 2º As áreas não ocupadas de que trata o inciso I </w:t>
      </w:r>
      <w:r w:rsidR="001334E1">
        <w:t xml:space="preserve">do </w:t>
      </w:r>
      <w:r w:rsidR="00225B3C" w:rsidRPr="00225B3C">
        <w:rPr>
          <w:i/>
        </w:rPr>
        <w:t>caput</w:t>
      </w:r>
      <w:r w:rsidR="001334E1">
        <w:t xml:space="preserve"> </w:t>
      </w:r>
      <w:r>
        <w:t xml:space="preserve">deste artigo requeridas para o fim de expansão do perímetro urbano serão transferidas ao Município, desde que atendidos </w:t>
      </w:r>
      <w:r w:rsidRPr="000332DD">
        <w:t>os</w:t>
      </w:r>
      <w:r w:rsidR="00565441">
        <w:t xml:space="preserve"> </w:t>
      </w:r>
      <w:r>
        <w:t xml:space="preserve">requisitos exigidos pela lei que regulamenta o art. 182 da Constituição Federal e </w:t>
      </w:r>
      <w:r w:rsidR="001334E1">
        <w:t xml:space="preserve">as </w:t>
      </w:r>
      <w:r>
        <w:t>demais normas gerais sobre planejamento e controle do uso, do parcelamento e da ocupação do solo urbano.</w:t>
      </w:r>
    </w:p>
    <w:p w:rsidR="00A34C51" w:rsidRDefault="00225B3C" w:rsidP="00A34C51">
      <w:pPr>
        <w:pStyle w:val="texto1"/>
      </w:pPr>
      <w:r>
        <w:t>Art. 2</w:t>
      </w:r>
      <w:r w:rsidR="00A34C51">
        <w:t xml:space="preserve">º Fica vedada a cobrança de foro e </w:t>
      </w:r>
      <w:r w:rsidR="001334E1">
        <w:t xml:space="preserve">de </w:t>
      </w:r>
      <w:r w:rsidR="00A34C51">
        <w:t>taxa de ocupação</w:t>
      </w:r>
      <w:r>
        <w:t xml:space="preserve"> das áreas de que trata o art. 1</w:t>
      </w:r>
      <w:r w:rsidR="00A34C51">
        <w:t>º</w:t>
      </w:r>
      <w:r w:rsidR="001334E1">
        <w:t xml:space="preserve"> desta Emenda Constitucional</w:t>
      </w:r>
      <w:r w:rsidR="00A34C51">
        <w:t xml:space="preserve">, bem como de laudêmio sobre as transferências de domínio, a partir da data de publicação desta Emenda Constitucional. </w:t>
      </w:r>
    </w:p>
    <w:p w:rsidR="00A34C51" w:rsidRDefault="00225B3C" w:rsidP="00A34C51">
      <w:pPr>
        <w:pStyle w:val="texto1"/>
      </w:pPr>
      <w:r>
        <w:t>Art. 3</w:t>
      </w:r>
      <w:r w:rsidR="00A34C51">
        <w:t xml:space="preserve">º A União adotará as providências necessárias para que, </w:t>
      </w:r>
      <w:r w:rsidR="001334E1">
        <w:t>no</w:t>
      </w:r>
      <w:r w:rsidR="00A34C51">
        <w:t xml:space="preserve"> prazo de até 2 (dois) anos, sejam efetivadas as transferências de que trata esta Emenda</w:t>
      </w:r>
      <w:r w:rsidR="001334E1">
        <w:t xml:space="preserve"> Constitucional</w:t>
      </w:r>
      <w:r w:rsidR="00A34C51">
        <w:t>.</w:t>
      </w:r>
    </w:p>
    <w:p w:rsidR="00A34C51" w:rsidRDefault="00A34C51" w:rsidP="00A34C51">
      <w:pPr>
        <w:pStyle w:val="texto1"/>
      </w:pPr>
      <w:r>
        <w:t xml:space="preserve">Parágrafo único. Nas transferências de que trata o inciso III do </w:t>
      </w:r>
      <w:r w:rsidR="001334E1" w:rsidRPr="00225B3C">
        <w:rPr>
          <w:i/>
        </w:rPr>
        <w:t>caput</w:t>
      </w:r>
      <w:r w:rsidR="001334E1">
        <w:t xml:space="preserve"> do </w:t>
      </w:r>
      <w:r w:rsidR="00225B3C">
        <w:t>art. 1</w:t>
      </w:r>
      <w:r>
        <w:t xml:space="preserve">º desta Emenda </w:t>
      </w:r>
      <w:r w:rsidR="001334E1">
        <w:t>Constitucional</w:t>
      </w:r>
      <w:r w:rsidR="00225B3C">
        <w:t>,</w:t>
      </w:r>
      <w:r w:rsidR="001334E1">
        <w:t xml:space="preserve"> </w:t>
      </w:r>
      <w:r>
        <w:t xml:space="preserve">serão deduzidos os valores pagos a título de foros ou </w:t>
      </w:r>
      <w:r w:rsidR="00225B3C">
        <w:t xml:space="preserve">de </w:t>
      </w:r>
      <w:r>
        <w:lastRenderedPageBreak/>
        <w:t xml:space="preserve">taxas de ocupação nos últimos 5 (cinco) anos, corrigidos pela taxa </w:t>
      </w:r>
      <w:r w:rsidR="00225B3C">
        <w:t>do Sistema Especial de Liquidação e de Custódia (Selic).</w:t>
      </w:r>
    </w:p>
    <w:p w:rsidR="00225B3C" w:rsidRDefault="00225B3C" w:rsidP="00225B3C">
      <w:pPr>
        <w:pStyle w:val="texto1"/>
      </w:pPr>
      <w:r>
        <w:t xml:space="preserve">Art. 4º Ficam revogados o inciso VII do </w:t>
      </w:r>
      <w:r w:rsidRPr="00225B3C">
        <w:rPr>
          <w:i/>
        </w:rPr>
        <w:t>caput</w:t>
      </w:r>
      <w:r>
        <w:t xml:space="preserve"> do art. 20 da Constituição Federal e o § 3º do art. 49 do Ato das Disposições Constitucionais Transitórias.</w:t>
      </w:r>
    </w:p>
    <w:p w:rsidR="00A34C51" w:rsidRDefault="00A34C51" w:rsidP="00A34C51">
      <w:pPr>
        <w:pStyle w:val="texto1"/>
      </w:pPr>
      <w:r>
        <w:t>Art. 5º Esta Emenda Constitucional entra em vigor na data de sua publicação.</w:t>
      </w:r>
    </w:p>
    <w:p w:rsidR="000C4044" w:rsidRPr="002601DF" w:rsidRDefault="006704B2" w:rsidP="00A34C51">
      <w:pPr>
        <w:pStyle w:val="texto1"/>
      </w:pPr>
      <w:r w:rsidRPr="002601DF">
        <w:t>Sala da</w:t>
      </w:r>
      <w:r w:rsidR="005F6518">
        <w:t>s Sessões</w:t>
      </w:r>
      <w:r w:rsidR="000C4044" w:rsidRPr="002601DF">
        <w:t>, em</w:t>
      </w:r>
      <w:r w:rsidR="002601DF" w:rsidRPr="002601DF">
        <w:t xml:space="preserve"> </w:t>
      </w:r>
      <w:r w:rsidR="00225B3C">
        <w:t>22 de fevereiro de 2022.</w:t>
      </w:r>
    </w:p>
    <w:p w:rsidR="000C4044" w:rsidRPr="00225B3C" w:rsidRDefault="000C4044" w:rsidP="00225B3C">
      <w:pPr>
        <w:pStyle w:val="assinatura"/>
        <w:rPr>
          <w:b w:val="0"/>
          <w:snapToGrid w:val="0"/>
        </w:rPr>
      </w:pPr>
    </w:p>
    <w:p w:rsidR="000C4044" w:rsidRDefault="000C4044" w:rsidP="00225B3C">
      <w:pPr>
        <w:pStyle w:val="assinatura"/>
        <w:rPr>
          <w:b w:val="0"/>
          <w:snapToGrid w:val="0"/>
        </w:rPr>
      </w:pPr>
    </w:p>
    <w:p w:rsidR="00225B3C" w:rsidRPr="00225B3C" w:rsidRDefault="00225B3C" w:rsidP="00225B3C">
      <w:pPr>
        <w:pStyle w:val="assinatura"/>
        <w:rPr>
          <w:b w:val="0"/>
          <w:snapToGrid w:val="0"/>
        </w:rPr>
      </w:pPr>
    </w:p>
    <w:p w:rsidR="004444DE" w:rsidRPr="002601DF" w:rsidRDefault="004444DE">
      <w:pPr>
        <w:pStyle w:val="assinatura"/>
        <w:rPr>
          <w:b w:val="0"/>
          <w:snapToGrid w:val="0"/>
        </w:rPr>
      </w:pPr>
      <w:r w:rsidRPr="002601DF">
        <w:rPr>
          <w:b w:val="0"/>
          <w:snapToGrid w:val="0"/>
        </w:rPr>
        <w:t>Deputado</w:t>
      </w:r>
      <w:r w:rsidR="00027077">
        <w:rPr>
          <w:b w:val="0"/>
          <w:snapToGrid w:val="0"/>
        </w:rPr>
        <w:t xml:space="preserve"> ALCEU MOREIRA</w:t>
      </w:r>
    </w:p>
    <w:p w:rsidR="000C4044" w:rsidRPr="002601DF" w:rsidRDefault="000C4044">
      <w:pPr>
        <w:pStyle w:val="assinatura"/>
        <w:rPr>
          <w:b w:val="0"/>
        </w:rPr>
      </w:pPr>
      <w:r w:rsidRPr="002601DF">
        <w:rPr>
          <w:b w:val="0"/>
          <w:snapToGrid w:val="0"/>
        </w:rPr>
        <w:t>Relator</w:t>
      </w:r>
    </w:p>
    <w:sectPr w:rsidR="000C4044" w:rsidRPr="002601DF" w:rsidSect="00DA32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8E6" w:rsidRDefault="005048E6">
      <w:r>
        <w:separator/>
      </w:r>
    </w:p>
  </w:endnote>
  <w:endnote w:type="continuationSeparator" w:id="0">
    <w:p w:rsidR="005048E6" w:rsidRDefault="0050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</w:p>
  <w:p w:rsidR="000C4044" w:rsidRDefault="000C4044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8E6" w:rsidRDefault="005048E6">
      <w:r>
        <w:separator/>
      </w:r>
    </w:p>
  </w:footnote>
  <w:footnote w:type="continuationSeparator" w:id="0">
    <w:p w:rsidR="005048E6" w:rsidRDefault="00504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272FD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0C4044" w:rsidRDefault="00DA3229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0C4044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DA3229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77B"/>
    <w:rsid w:val="00027077"/>
    <w:rsid w:val="000332DD"/>
    <w:rsid w:val="000C4044"/>
    <w:rsid w:val="001334E1"/>
    <w:rsid w:val="00225B3C"/>
    <w:rsid w:val="002601DF"/>
    <w:rsid w:val="002630BF"/>
    <w:rsid w:val="003024E5"/>
    <w:rsid w:val="003208C8"/>
    <w:rsid w:val="00332AB0"/>
    <w:rsid w:val="004444DE"/>
    <w:rsid w:val="0045177B"/>
    <w:rsid w:val="005048E6"/>
    <w:rsid w:val="005533EA"/>
    <w:rsid w:val="00565441"/>
    <w:rsid w:val="005F6518"/>
    <w:rsid w:val="00646FF2"/>
    <w:rsid w:val="006704B2"/>
    <w:rsid w:val="007633F8"/>
    <w:rsid w:val="00875A29"/>
    <w:rsid w:val="008F6E35"/>
    <w:rsid w:val="009014F8"/>
    <w:rsid w:val="009777AA"/>
    <w:rsid w:val="00987195"/>
    <w:rsid w:val="00A14B9B"/>
    <w:rsid w:val="00A34C51"/>
    <w:rsid w:val="00B272FD"/>
    <w:rsid w:val="00B96B69"/>
    <w:rsid w:val="00BE1A10"/>
    <w:rsid w:val="00DA3229"/>
    <w:rsid w:val="00DE1DCF"/>
    <w:rsid w:val="00ED3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5:docId w15:val="{4746ED22-2D04-4F96-AFC5-74F000886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B96B69"/>
    <w:pPr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B96B69"/>
    <w:pPr>
      <w:tabs>
        <w:tab w:val="left" w:leader="dot" w:pos="7655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4444DE"/>
    <w:pPr>
      <w:suppressAutoHyphens w:val="0"/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B96B69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6B69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B96B69"/>
    <w:pPr>
      <w:tabs>
        <w:tab w:val="left" w:leader="dot" w:pos="8505"/>
      </w:tabs>
      <w:spacing w:line="360" w:lineRule="auto"/>
      <w:ind w:left="1418" w:firstLine="1418"/>
    </w:pPr>
    <w:rPr>
      <w:b w:val="0"/>
    </w:r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Corpo">
    <w:name w:val="Corpo"/>
    <w:basedOn w:val="Normal"/>
    <w:next w:val="Normal"/>
    <w:rsid w:val="003208C8"/>
    <w:pPr>
      <w:widowControl w:val="0"/>
      <w:spacing w:after="714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CorpoPadro">
    <w:name w:val="Corpo Padrão"/>
    <w:basedOn w:val="Normal"/>
    <w:rsid w:val="003208C8"/>
    <w:pPr>
      <w:spacing w:after="200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data">
    <w:name w:val="data"/>
    <w:basedOn w:val="Normal"/>
    <w:rsid w:val="003208C8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Ementa0">
    <w:name w:val="Ementa"/>
    <w:basedOn w:val="Normal"/>
    <w:rsid w:val="003208C8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Lei">
    <w:name w:val="Transcrição Lei"/>
    <w:basedOn w:val="Normal"/>
    <w:rsid w:val="003208C8"/>
    <w:pPr>
      <w:spacing w:after="100" w:line="280" w:lineRule="exact"/>
      <w:ind w:left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">
    <w:name w:val="Transcrição"/>
    <w:basedOn w:val="CorpoPadro"/>
    <w:rsid w:val="003208C8"/>
    <w:pPr>
      <w:widowControl w:val="0"/>
      <w:spacing w:after="100" w:line="280" w:lineRule="exact"/>
      <w:ind w:left="2302" w:firstLine="567"/>
    </w:pPr>
    <w:rPr>
      <w:i/>
    </w:rPr>
  </w:style>
  <w:style w:type="paragraph" w:styleId="Recuodecorpodetexto2">
    <w:name w:val="Body Text Indent 2"/>
    <w:basedOn w:val="Normal"/>
    <w:link w:val="Recuodecorpodetexto2Char"/>
    <w:semiHidden/>
    <w:rsid w:val="006704B2"/>
    <w:pPr>
      <w:widowControl w:val="0"/>
      <w:suppressAutoHyphens w:val="0"/>
      <w:spacing w:line="360" w:lineRule="exact"/>
      <w:ind w:firstLine="1134"/>
      <w:jc w:val="both"/>
    </w:pPr>
    <w:rPr>
      <w:rFonts w:ascii="Arial" w:hAnsi="Arial"/>
      <w:b w:val="0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6704B2"/>
    <w:rPr>
      <w:rFonts w:ascii="Arial" w:hAnsi="Arial"/>
      <w:snapToGrid w:val="0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2A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AB0"/>
    <w:rPr>
      <w:rFonts w:ascii="Tahoma" w:hAnsi="Tahoma" w:cs="Tahoma"/>
      <w:b/>
      <w:sz w:val="16"/>
      <w:szCs w:val="16"/>
    </w:rPr>
  </w:style>
  <w:style w:type="paragraph" w:customStyle="1" w:styleId="EMENTA1">
    <w:name w:val="EMENTA"/>
    <w:basedOn w:val="Normal"/>
    <w:rsid w:val="002601DF"/>
    <w:pPr>
      <w:widowControl w:val="0"/>
      <w:suppressAutoHyphens w:val="0"/>
      <w:spacing w:before="1080" w:after="1080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0">
    <w:name w:val="CORPO PADRÃO"/>
    <w:basedOn w:val="Normal"/>
    <w:rsid w:val="002601DF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521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2015-08-27T12:43:00Z</cp:lastPrinted>
  <dcterms:created xsi:type="dcterms:W3CDTF">2022-02-23T01:25:00Z</dcterms:created>
  <dcterms:modified xsi:type="dcterms:W3CDTF">2022-02-23T01:25:00Z</dcterms:modified>
</cp:coreProperties>
</file>