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BAA" w:rsidRPr="00EA7AE5" w:rsidRDefault="00EF3BAA">
      <w:pPr>
        <w:pStyle w:val="cabea"/>
        <w:rPr>
          <w:b w:val="0"/>
          <w:color w:val="000000"/>
        </w:rPr>
      </w:pPr>
      <w:r w:rsidRPr="00EA7AE5">
        <w:rPr>
          <w:b w:val="0"/>
        </w:rPr>
        <w:t>redação final</w:t>
      </w:r>
    </w:p>
    <w:p w:rsidR="00EF3BAA" w:rsidRPr="00FA20BE" w:rsidRDefault="00EF3BAA">
      <w:pPr>
        <w:pStyle w:val="cabea"/>
        <w:rPr>
          <w:b w:val="0"/>
          <w:color w:val="000000"/>
        </w:rPr>
      </w:pPr>
      <w:r w:rsidRPr="00FA20BE">
        <w:rPr>
          <w:b w:val="0"/>
        </w:rPr>
        <w:t xml:space="preserve">projeto de decreto legislativo nº </w:t>
      </w:r>
      <w:r w:rsidR="00CA70EF" w:rsidRPr="00FA20BE">
        <w:rPr>
          <w:b w:val="0"/>
        </w:rPr>
        <w:t>333</w:t>
      </w:r>
      <w:r w:rsidRPr="00FA20BE">
        <w:rPr>
          <w:b w:val="0"/>
        </w:rPr>
        <w:t>-</w:t>
      </w:r>
      <w:r w:rsidR="00B91AB7">
        <w:rPr>
          <w:b w:val="0"/>
        </w:rPr>
        <w:t>A</w:t>
      </w:r>
      <w:bookmarkStart w:id="0" w:name="_GoBack"/>
      <w:bookmarkEnd w:id="0"/>
      <w:r w:rsidR="008C41B3" w:rsidRPr="00FA20BE">
        <w:rPr>
          <w:b w:val="0"/>
        </w:rPr>
        <w:t xml:space="preserve"> de 20</w:t>
      </w:r>
      <w:r w:rsidR="00CA70EF" w:rsidRPr="00FA20BE">
        <w:rPr>
          <w:b w:val="0"/>
        </w:rPr>
        <w:t>20</w:t>
      </w:r>
    </w:p>
    <w:p w:rsidR="00AF6D75" w:rsidRPr="00FA20BE" w:rsidRDefault="00AF6D75" w:rsidP="00FA20BE">
      <w:pPr>
        <w:pStyle w:val="texto1"/>
      </w:pPr>
    </w:p>
    <w:p w:rsidR="0075589C" w:rsidRPr="00C77EC7" w:rsidRDefault="001E2844" w:rsidP="00C77EC7">
      <w:pPr>
        <w:pStyle w:val="ementa"/>
      </w:pPr>
      <w:r w:rsidRPr="00FA20BE">
        <w:t xml:space="preserve">Susta a Portaria nº 377, de </w:t>
      </w:r>
      <w:r w:rsidR="00FB198F" w:rsidRPr="00FA20BE">
        <w:t xml:space="preserve">8 de julho de </w:t>
      </w:r>
      <w:r w:rsidRPr="00FA20BE">
        <w:t xml:space="preserve">2020, da Secretaria do Tesouro Nacional do Ministério da Economia, que </w:t>
      </w:r>
      <w:r w:rsidR="00020414" w:rsidRPr="00FA20BE">
        <w:t>“E</w:t>
      </w:r>
      <w:r w:rsidRPr="00FA20BE">
        <w:t>stabelece prazos para a definição de rotinas e contas contábeis, bem como classificações orçamentárias</w:t>
      </w:r>
      <w:r w:rsidRPr="000B6B46">
        <w:t xml:space="preserve"> para operacionalização do item 04.01.02.01 (3) da 10ª edição do Manual de Demonstrativos Fiscais (MDF), aprovado pela Portaria STN nº 286, de 7 de maio de 2019, e alterações posteriores</w:t>
      </w:r>
      <w:r w:rsidR="00020414">
        <w:t>”</w:t>
      </w:r>
      <w:r w:rsidR="00C77EC7" w:rsidRPr="00C77EC7">
        <w:t>.</w:t>
      </w:r>
    </w:p>
    <w:p w:rsidR="00FA20BE" w:rsidRDefault="00FA20BE" w:rsidP="00C77EC7">
      <w:pPr>
        <w:pStyle w:val="texto1"/>
      </w:pPr>
    </w:p>
    <w:p w:rsidR="0075589C" w:rsidRDefault="0075589C" w:rsidP="00C77EC7">
      <w:pPr>
        <w:pStyle w:val="texto1"/>
      </w:pPr>
      <w:r>
        <w:t>O CONGRESSO NACIONAL decreta:</w:t>
      </w:r>
    </w:p>
    <w:p w:rsidR="00203C23" w:rsidRDefault="00203C23" w:rsidP="00C77EC7">
      <w:pPr>
        <w:pStyle w:val="texto1"/>
      </w:pPr>
    </w:p>
    <w:p w:rsidR="00C77EC7" w:rsidRPr="00FA20BE" w:rsidRDefault="00C77EC7" w:rsidP="00C77EC7">
      <w:pPr>
        <w:pStyle w:val="texto1"/>
        <w:rPr>
          <w:szCs w:val="24"/>
        </w:rPr>
      </w:pPr>
      <w:r w:rsidRPr="00C77EC7">
        <w:rPr>
          <w:szCs w:val="24"/>
        </w:rPr>
        <w:t xml:space="preserve">Art. </w:t>
      </w:r>
      <w:r w:rsidRPr="00C77EC7">
        <w:rPr>
          <w:bCs/>
          <w:szCs w:val="24"/>
        </w:rPr>
        <w:t xml:space="preserve">1º </w:t>
      </w:r>
      <w:r w:rsidR="001E2844" w:rsidRPr="001E2844">
        <w:rPr>
          <w:szCs w:val="24"/>
        </w:rPr>
        <w:t xml:space="preserve">Fica </w:t>
      </w:r>
      <w:r w:rsidR="001E2844" w:rsidRPr="00FA20BE">
        <w:rPr>
          <w:szCs w:val="24"/>
        </w:rPr>
        <w:t xml:space="preserve">sustado, nos termos do inciso V do </w:t>
      </w:r>
      <w:r w:rsidR="00020414" w:rsidRPr="00FA20BE">
        <w:rPr>
          <w:i/>
          <w:szCs w:val="24"/>
        </w:rPr>
        <w:t xml:space="preserve">caput </w:t>
      </w:r>
      <w:r w:rsidR="00020414" w:rsidRPr="00FA20BE">
        <w:rPr>
          <w:szCs w:val="24"/>
        </w:rPr>
        <w:t xml:space="preserve">do </w:t>
      </w:r>
      <w:r w:rsidR="001E2844" w:rsidRPr="00FA20BE">
        <w:rPr>
          <w:szCs w:val="24"/>
        </w:rPr>
        <w:t xml:space="preserve">art. 49 da Constituição Federal, a Portaria nº 377, de 8 de julho de 2020, da Secretaria do Tesouro Nacional do Ministério da Economia, que </w:t>
      </w:r>
      <w:r w:rsidR="00020414" w:rsidRPr="00FA20BE">
        <w:rPr>
          <w:szCs w:val="24"/>
        </w:rPr>
        <w:t>“E</w:t>
      </w:r>
      <w:r w:rsidR="001E2844" w:rsidRPr="00FA20BE">
        <w:rPr>
          <w:szCs w:val="24"/>
        </w:rPr>
        <w:t>stabelece prazos para a definição de rotinas e contas contábeis, bem como classificações orçamentárias para operacionalização do item 04.01.02.01 (3) da 10</w:t>
      </w:r>
      <w:r w:rsidR="00FB198F" w:rsidRPr="00FA20BE">
        <w:rPr>
          <w:szCs w:val="24"/>
        </w:rPr>
        <w:t>ª</w:t>
      </w:r>
      <w:r w:rsidR="001E2844" w:rsidRPr="00FA20BE">
        <w:rPr>
          <w:szCs w:val="24"/>
        </w:rPr>
        <w:t xml:space="preserve"> edição do Manual de Demonstrativos Fiscais (MDF), aprovado pela Portaria STN nº 286, de 7 de maio de 2019, e alterações posteriores</w:t>
      </w:r>
      <w:r w:rsidR="00020414" w:rsidRPr="00FA20BE">
        <w:rPr>
          <w:szCs w:val="24"/>
        </w:rPr>
        <w:t>”</w:t>
      </w:r>
      <w:r w:rsidRPr="00FA20BE">
        <w:rPr>
          <w:szCs w:val="24"/>
        </w:rPr>
        <w:t>.</w:t>
      </w:r>
    </w:p>
    <w:p w:rsidR="0075589C" w:rsidRDefault="0075589C" w:rsidP="00C77EC7">
      <w:pPr>
        <w:pStyle w:val="texto1"/>
      </w:pPr>
      <w:r w:rsidRPr="00FA20BE">
        <w:t xml:space="preserve">Art. </w:t>
      </w:r>
      <w:r w:rsidR="001E2844" w:rsidRPr="00FA20BE">
        <w:t>2</w:t>
      </w:r>
      <w:r w:rsidR="00C77EC7" w:rsidRPr="00FA20BE">
        <w:t>º</w:t>
      </w:r>
      <w:r w:rsidRPr="00FA20BE">
        <w:t xml:space="preserve"> Este Decreto Legislativo entra</w:t>
      </w:r>
      <w:r>
        <w:t xml:space="preserve"> em vigor na data de sua publicação.</w:t>
      </w:r>
    </w:p>
    <w:p w:rsidR="00EF3BAA" w:rsidRPr="00EA7AE5" w:rsidRDefault="00EF3BAA" w:rsidP="00C77EC7">
      <w:pPr>
        <w:pStyle w:val="texto1"/>
        <w:rPr>
          <w:color w:val="000000"/>
        </w:rPr>
      </w:pPr>
      <w:r w:rsidRPr="00EA7AE5">
        <w:t>Sala das Sessões, em</w:t>
      </w:r>
      <w:r w:rsidR="00020414">
        <w:t xml:space="preserve"> 16 de dezembro de 2021.</w:t>
      </w:r>
    </w:p>
    <w:p w:rsidR="00EF3BAA" w:rsidRPr="00FA20BE" w:rsidRDefault="00EF3BAA" w:rsidP="00FA20BE">
      <w:pPr>
        <w:pStyle w:val="assinatura"/>
        <w:rPr>
          <w:b w:val="0"/>
          <w:color w:val="000000"/>
        </w:rPr>
      </w:pPr>
    </w:p>
    <w:p w:rsidR="00EF3BAA" w:rsidRPr="00FA20BE" w:rsidRDefault="00EF3BAA" w:rsidP="00FA20BE">
      <w:pPr>
        <w:pStyle w:val="assinatura"/>
        <w:rPr>
          <w:b w:val="0"/>
          <w:color w:val="000000"/>
        </w:rPr>
      </w:pPr>
    </w:p>
    <w:p w:rsidR="00EF3BAA" w:rsidRPr="00FA20BE" w:rsidRDefault="00EF3BAA" w:rsidP="00FA20BE">
      <w:pPr>
        <w:pStyle w:val="assinatura"/>
        <w:rPr>
          <w:b w:val="0"/>
          <w:color w:val="000000"/>
        </w:rPr>
      </w:pPr>
    </w:p>
    <w:p w:rsidR="00EF3BAA" w:rsidRPr="00FA20BE" w:rsidRDefault="00E31C43" w:rsidP="00FA20BE">
      <w:pPr>
        <w:pStyle w:val="assinatura"/>
        <w:rPr>
          <w:b w:val="0"/>
          <w:color w:val="000000"/>
        </w:rPr>
      </w:pPr>
      <w:r>
        <w:rPr>
          <w:b w:val="0"/>
          <w:color w:val="000000"/>
        </w:rPr>
        <w:t>Deputada</w:t>
      </w:r>
      <w:r w:rsidR="008C41B3">
        <w:rPr>
          <w:b w:val="0"/>
          <w:color w:val="000000"/>
        </w:rPr>
        <w:t xml:space="preserve"> </w:t>
      </w:r>
      <w:r>
        <w:rPr>
          <w:b w:val="0"/>
          <w:color w:val="000000"/>
        </w:rPr>
        <w:t>LEANDRE</w:t>
      </w:r>
      <w:r w:rsidR="00EF3BAA" w:rsidRPr="00EA7AE5">
        <w:rPr>
          <w:b w:val="0"/>
          <w:color w:val="000000"/>
        </w:rPr>
        <w:cr/>
      </w:r>
      <w:r w:rsidR="00FA20BE" w:rsidRPr="00FA20BE">
        <w:rPr>
          <w:b w:val="0"/>
          <w:color w:val="000000"/>
        </w:rPr>
        <w:t>Relator</w:t>
      </w:r>
      <w:r>
        <w:rPr>
          <w:b w:val="0"/>
          <w:color w:val="000000"/>
        </w:rPr>
        <w:t>a</w:t>
      </w:r>
    </w:p>
    <w:sectPr w:rsidR="00EF3BAA" w:rsidRPr="00FA20BE" w:rsidSect="00DE2F70">
      <w:headerReference w:type="default" r:id="rId7"/>
      <w:footerReference w:type="even" r:id="rId8"/>
      <w:footerReference w:type="default" r:id="rId9"/>
      <w:headerReference w:type="first" r:id="rId10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A20BE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20414"/>
    <w:rsid w:val="00065FAE"/>
    <w:rsid w:val="000B6B46"/>
    <w:rsid w:val="000C39A9"/>
    <w:rsid w:val="000C40D4"/>
    <w:rsid w:val="001174DB"/>
    <w:rsid w:val="00160904"/>
    <w:rsid w:val="001E2844"/>
    <w:rsid w:val="00203C23"/>
    <w:rsid w:val="002144D2"/>
    <w:rsid w:val="002E78B7"/>
    <w:rsid w:val="0034275A"/>
    <w:rsid w:val="0045530F"/>
    <w:rsid w:val="005678C7"/>
    <w:rsid w:val="005B6EB9"/>
    <w:rsid w:val="006C6970"/>
    <w:rsid w:val="006F503F"/>
    <w:rsid w:val="00730754"/>
    <w:rsid w:val="0075589C"/>
    <w:rsid w:val="008C41B3"/>
    <w:rsid w:val="00AC1DC6"/>
    <w:rsid w:val="00AE63A1"/>
    <w:rsid w:val="00AF6D75"/>
    <w:rsid w:val="00B41EC2"/>
    <w:rsid w:val="00B91AB7"/>
    <w:rsid w:val="00C70881"/>
    <w:rsid w:val="00C77EC7"/>
    <w:rsid w:val="00CA70EF"/>
    <w:rsid w:val="00DE2F70"/>
    <w:rsid w:val="00E31C43"/>
    <w:rsid w:val="00E37725"/>
    <w:rsid w:val="00EA7AE5"/>
    <w:rsid w:val="00EF3BAA"/>
    <w:rsid w:val="00F761CC"/>
    <w:rsid w:val="00FA20BE"/>
    <w:rsid w:val="00FB1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,"/>
  <w:listSeparator w:val=";"/>
  <w15:docId w15:val="{D851B7D6-70A6-4326-AAD8-1B186A452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C77EC7"/>
    <w:pPr>
      <w:suppressAutoHyphens/>
      <w:spacing w:line="192" w:lineRule="auto"/>
      <w:ind w:left="3538"/>
      <w:jc w:val="both"/>
    </w:pPr>
    <w:rPr>
      <w:rFonts w:ascii="Courier New" w:hAnsi="Courier New" w:cs="Courier New"/>
      <w:iCs/>
      <w:snapToGrid w:val="0"/>
      <w:sz w:val="24"/>
      <w:lang w:val="pt-PT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pPr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Default">
    <w:name w:val="Default"/>
    <w:rsid w:val="007558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77EC7"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B198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19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1138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Ana Carolina Melo Araújo</cp:lastModifiedBy>
  <cp:revision>3</cp:revision>
  <cp:lastPrinted>2007-08-16T13:16:00Z</cp:lastPrinted>
  <dcterms:created xsi:type="dcterms:W3CDTF">2021-12-21T20:22:00Z</dcterms:created>
  <dcterms:modified xsi:type="dcterms:W3CDTF">2021-12-21T20:22:00Z</dcterms:modified>
</cp:coreProperties>
</file>