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574C49" w14:textId="77777777" w:rsidR="005D7504" w:rsidRPr="00324ECF" w:rsidRDefault="005D7504" w:rsidP="005D7504">
      <w:pPr>
        <w:pStyle w:val="cabea"/>
        <w:ind w:left="0" w:right="-142"/>
      </w:pPr>
      <w:r w:rsidRPr="00324ECF">
        <w:t xml:space="preserve">redação final do substitutivo da câmara dos deputados ao </w:t>
      </w:r>
    </w:p>
    <w:p w14:paraId="4B1673C5" w14:textId="2FDF8DCF" w:rsidR="005D7504" w:rsidRPr="00324ECF" w:rsidRDefault="005D7504" w:rsidP="005D7504">
      <w:pPr>
        <w:pStyle w:val="cabea"/>
        <w:ind w:left="0" w:right="-142"/>
      </w:pPr>
      <w:r w:rsidRPr="00324ECF">
        <w:t>projeto de lei nº 712-</w:t>
      </w:r>
      <w:r w:rsidR="006164D4" w:rsidRPr="00324ECF">
        <w:t>A</w:t>
      </w:r>
      <w:r w:rsidR="000562EA">
        <w:t xml:space="preserve"> de 2019</w:t>
      </w:r>
      <w:r w:rsidRPr="00324ECF">
        <w:t xml:space="preserve"> do senado federal</w:t>
      </w:r>
    </w:p>
    <w:p w14:paraId="376431F2" w14:textId="77777777" w:rsidR="005D7504" w:rsidRPr="00324ECF" w:rsidRDefault="005D7504" w:rsidP="005D7504">
      <w:pPr>
        <w:pStyle w:val="texto10"/>
      </w:pPr>
    </w:p>
    <w:p w14:paraId="19DCE18A" w14:textId="4D89B96A" w:rsidR="005D7504" w:rsidRPr="00324ECF" w:rsidRDefault="00156231" w:rsidP="005D7504">
      <w:pPr>
        <w:pStyle w:val="ementa"/>
      </w:pPr>
      <w:r w:rsidRPr="00324ECF">
        <w:t xml:space="preserve">Substitutivo da Câmara dos Deputados ao Projeto de Lei nº </w:t>
      </w:r>
      <w:r w:rsidR="006164D4" w:rsidRPr="00324ECF">
        <w:t>712</w:t>
      </w:r>
      <w:r w:rsidR="000562EA">
        <w:t xml:space="preserve"> de 2019</w:t>
      </w:r>
      <w:bookmarkStart w:id="0" w:name="_GoBack"/>
      <w:bookmarkEnd w:id="0"/>
      <w:r w:rsidRPr="00324ECF">
        <w:t xml:space="preserve"> do Senado Federal, que “</w:t>
      </w:r>
      <w:r w:rsidR="005D7504" w:rsidRPr="00324ECF">
        <w:t>Altera a Lei nº 10.438, de 26 de abril de 2002, e a Lei nº 9.074, de 7 de julho de 1995, para instituir subvenção econômica às concessionárias do serviço público de distribuição de energia elétrica de pequeno porte</w:t>
      </w:r>
      <w:r w:rsidRPr="00324ECF">
        <w:t>”</w:t>
      </w:r>
      <w:r w:rsidR="006164D4" w:rsidRPr="00324ECF">
        <w:t>.</w:t>
      </w:r>
    </w:p>
    <w:p w14:paraId="49C52FB1" w14:textId="77777777" w:rsidR="005D7504" w:rsidRPr="00324ECF" w:rsidRDefault="005D7504" w:rsidP="005D7504">
      <w:pPr>
        <w:pStyle w:val="texto10"/>
      </w:pPr>
    </w:p>
    <w:p w14:paraId="2CC37ADC" w14:textId="77777777" w:rsidR="005D7504" w:rsidRPr="00324ECF" w:rsidRDefault="005D7504" w:rsidP="005D7504">
      <w:pPr>
        <w:pStyle w:val="texto10"/>
      </w:pPr>
      <w:r w:rsidRPr="00324ECF">
        <w:t>Dê-se ao projeto a seguinte redação:</w:t>
      </w:r>
    </w:p>
    <w:p w14:paraId="624D106D" w14:textId="77777777" w:rsidR="005D7504" w:rsidRPr="00324ECF" w:rsidRDefault="005D7504" w:rsidP="005D7504">
      <w:pPr>
        <w:pStyle w:val="texto10"/>
      </w:pPr>
    </w:p>
    <w:p w14:paraId="417C22E1" w14:textId="4ED9DE00" w:rsidR="00863863" w:rsidRPr="00324ECF" w:rsidRDefault="00F529B6" w:rsidP="00863863">
      <w:pPr>
        <w:pStyle w:val="ementa"/>
      </w:pPr>
      <w:r w:rsidRPr="00324ECF">
        <w:t>Altera a</w:t>
      </w:r>
      <w:r w:rsidR="006164D4" w:rsidRPr="00324ECF">
        <w:t>s</w:t>
      </w:r>
      <w:r w:rsidRPr="00324ECF">
        <w:t xml:space="preserve"> Lei</w:t>
      </w:r>
      <w:r w:rsidR="006164D4" w:rsidRPr="00324ECF">
        <w:t>s</w:t>
      </w:r>
      <w:r w:rsidRPr="00324ECF">
        <w:t xml:space="preserve"> </w:t>
      </w:r>
      <w:proofErr w:type="spellStart"/>
      <w:r w:rsidRPr="00324ECF">
        <w:t>nº</w:t>
      </w:r>
      <w:r w:rsidR="006164D4" w:rsidRPr="00324ECF">
        <w:t>s</w:t>
      </w:r>
      <w:proofErr w:type="spellEnd"/>
      <w:r w:rsidRPr="00324ECF">
        <w:t xml:space="preserve"> 10.438, de 26 de </w:t>
      </w:r>
      <w:proofErr w:type="gramStart"/>
      <w:r w:rsidRPr="00324ECF">
        <w:t>abril</w:t>
      </w:r>
      <w:proofErr w:type="gramEnd"/>
      <w:r w:rsidRPr="00324ECF">
        <w:t xml:space="preserve"> de 2002, e 9.074, de 7 de julho de 1995, para instituir subvenção econômica às concessionárias do serviço público de distribuição de energia elétrica de pequeno porte</w:t>
      </w:r>
      <w:r w:rsidR="00293999" w:rsidRPr="00324ECF">
        <w:t>; cria o Programa de Transição Energética Justa (TEJ); e dá outras providências.</w:t>
      </w:r>
    </w:p>
    <w:p w14:paraId="5252E030" w14:textId="77777777" w:rsidR="00863863" w:rsidRPr="00324ECF" w:rsidRDefault="00863863" w:rsidP="00863863">
      <w:pPr>
        <w:pStyle w:val="texto1"/>
      </w:pPr>
    </w:p>
    <w:p w14:paraId="506F7218" w14:textId="65DBE0A0" w:rsidR="00863863" w:rsidRPr="00324ECF" w:rsidRDefault="00863863" w:rsidP="00863863">
      <w:pPr>
        <w:pStyle w:val="texto1"/>
      </w:pPr>
      <w:r w:rsidRPr="00324ECF">
        <w:t>O CONGRESSO NACIONAL decreta:</w:t>
      </w:r>
    </w:p>
    <w:p w14:paraId="5E78E8B2" w14:textId="77777777" w:rsidR="000659C9" w:rsidRPr="00324ECF" w:rsidRDefault="000659C9" w:rsidP="00863863">
      <w:pPr>
        <w:pStyle w:val="texto1"/>
        <w:spacing w:line="192" w:lineRule="auto"/>
      </w:pPr>
    </w:p>
    <w:p w14:paraId="5F83D6AB" w14:textId="77777777" w:rsidR="00F529B6" w:rsidRPr="00324ECF" w:rsidRDefault="00F529B6" w:rsidP="00F529B6">
      <w:pPr>
        <w:pStyle w:val="texto1"/>
      </w:pPr>
      <w:r w:rsidRPr="00324ECF">
        <w:t xml:space="preserve">Art. 1º Esta Lei institui subvenção econômica às concessionárias do serviço público de distribuição de energia elétrica com mercados próprios inferiores a 350 </w:t>
      </w:r>
      <w:proofErr w:type="spellStart"/>
      <w:r w:rsidRPr="00324ECF">
        <w:t>GWh</w:t>
      </w:r>
      <w:proofErr w:type="spellEnd"/>
      <w:r w:rsidRPr="00324ECF">
        <w:t xml:space="preserve"> (trezentos e cinquenta </w:t>
      </w:r>
      <w:proofErr w:type="spellStart"/>
      <w:r w:rsidRPr="00324ECF">
        <w:t>gigawatts</w:t>
      </w:r>
      <w:proofErr w:type="spellEnd"/>
      <w:r w:rsidRPr="00324ECF">
        <w:t>-hora) anuais.</w:t>
      </w:r>
    </w:p>
    <w:p w14:paraId="5FCF4E70" w14:textId="3F4539CF" w:rsidR="00F529B6" w:rsidRPr="00324ECF" w:rsidRDefault="00F529B6" w:rsidP="00F529B6">
      <w:pPr>
        <w:pStyle w:val="texto1"/>
      </w:pPr>
      <w:r w:rsidRPr="00324ECF">
        <w:t xml:space="preserve">Art. 2º O art. 13 da Lei nº 10.438, de 26 de abril de 2002, passa a vigorar com </w:t>
      </w:r>
      <w:r w:rsidR="006164D4" w:rsidRPr="00324ECF">
        <w:t>as seguintes alterações</w:t>
      </w:r>
      <w:r w:rsidRPr="00324ECF">
        <w:t>:</w:t>
      </w:r>
    </w:p>
    <w:p w14:paraId="2F01033E" w14:textId="77777777" w:rsidR="00F529B6" w:rsidRPr="00324ECF" w:rsidRDefault="00F529B6" w:rsidP="00F529B6">
      <w:pPr>
        <w:pStyle w:val="texto2"/>
      </w:pPr>
      <w:r w:rsidRPr="00324ECF">
        <w:t>“Art. 13. ...............................</w:t>
      </w:r>
    </w:p>
    <w:p w14:paraId="54E63238" w14:textId="77777777" w:rsidR="00F529B6" w:rsidRPr="00324ECF" w:rsidRDefault="00F529B6" w:rsidP="00F529B6">
      <w:pPr>
        <w:pStyle w:val="texto2"/>
        <w:ind w:firstLine="0"/>
      </w:pPr>
      <w:r w:rsidRPr="00324ECF">
        <w:t>...................................................</w:t>
      </w:r>
    </w:p>
    <w:p w14:paraId="1E21803D" w14:textId="18474CAA" w:rsidR="00F529B6" w:rsidRPr="00324ECF" w:rsidRDefault="00F529B6" w:rsidP="00F529B6">
      <w:pPr>
        <w:pStyle w:val="texto2"/>
      </w:pPr>
      <w:r w:rsidRPr="00324ECF">
        <w:t>XVII – prover recursos para atendimento da subvenção econômica de que trata o § 16</w:t>
      </w:r>
      <w:r w:rsidR="006164D4" w:rsidRPr="00324ECF">
        <w:t xml:space="preserve"> deste artigo</w:t>
      </w:r>
      <w:r w:rsidRPr="00324ECF">
        <w:t xml:space="preserve">, destinada à modicidade tarifária </w:t>
      </w:r>
      <w:r w:rsidR="00454A8B" w:rsidRPr="00324ECF">
        <w:t>relativa a</w:t>
      </w:r>
      <w:r w:rsidRPr="00324ECF">
        <w:t xml:space="preserve"> consumidores atendidos por concessionárias do </w:t>
      </w:r>
      <w:r w:rsidRPr="00324ECF">
        <w:lastRenderedPageBreak/>
        <w:t xml:space="preserve">serviço público de distribuição de energia elétrica com mercado próprio anual inferior a 350 </w:t>
      </w:r>
      <w:proofErr w:type="spellStart"/>
      <w:r w:rsidRPr="00324ECF">
        <w:t>GWh</w:t>
      </w:r>
      <w:proofErr w:type="spellEnd"/>
      <w:r w:rsidRPr="00324ECF">
        <w:t xml:space="preserve"> (trezentos e cinquenta </w:t>
      </w:r>
      <w:proofErr w:type="spellStart"/>
      <w:r w:rsidRPr="00324ECF">
        <w:t>gigawatts</w:t>
      </w:r>
      <w:proofErr w:type="spellEnd"/>
      <w:r w:rsidRPr="00324ECF">
        <w:t>-hora).</w:t>
      </w:r>
    </w:p>
    <w:p w14:paraId="06415B3C" w14:textId="77777777" w:rsidR="00F529B6" w:rsidRPr="00324ECF" w:rsidRDefault="00F529B6" w:rsidP="00F529B6">
      <w:pPr>
        <w:pStyle w:val="texto2"/>
        <w:ind w:firstLine="0"/>
      </w:pPr>
      <w:r w:rsidRPr="00324ECF">
        <w:t>...................................................</w:t>
      </w:r>
    </w:p>
    <w:p w14:paraId="1455D3AF" w14:textId="0CF5A73E" w:rsidR="00F529B6" w:rsidRPr="00324ECF" w:rsidRDefault="00F529B6" w:rsidP="00F529B6">
      <w:pPr>
        <w:pStyle w:val="texto2"/>
      </w:pPr>
      <w:r w:rsidRPr="00324ECF">
        <w:t xml:space="preserve">§ 16. As tarifas aplicáveis às concessionárias de serviço público de distribuição de energia elétrica com mercado próprio anual inferior a 350 </w:t>
      </w:r>
      <w:proofErr w:type="spellStart"/>
      <w:r w:rsidRPr="00324ECF">
        <w:t>GWh</w:t>
      </w:r>
      <w:proofErr w:type="spellEnd"/>
      <w:r w:rsidRPr="00324ECF">
        <w:t xml:space="preserve"> (trezentos e cinquenta </w:t>
      </w:r>
      <w:proofErr w:type="spellStart"/>
      <w:r w:rsidRPr="00324ECF">
        <w:t>gigawatts</w:t>
      </w:r>
      <w:proofErr w:type="spellEnd"/>
      <w:r w:rsidRPr="00324ECF">
        <w:t xml:space="preserve">-hora) não poderão ser superiores às tarifas da concessionária de serviço público de distribuição de energia elétrica de área adjacente e com mercado próprio anual superior a 700 </w:t>
      </w:r>
      <w:proofErr w:type="spellStart"/>
      <w:r w:rsidRPr="00324ECF">
        <w:t>GWh</w:t>
      </w:r>
      <w:proofErr w:type="spellEnd"/>
      <w:r w:rsidRPr="00324ECF">
        <w:t xml:space="preserve"> (setecentos </w:t>
      </w:r>
      <w:proofErr w:type="spellStart"/>
      <w:r w:rsidRPr="00324ECF">
        <w:t>gigawatts</w:t>
      </w:r>
      <w:proofErr w:type="spellEnd"/>
      <w:r w:rsidRPr="00324ECF">
        <w:t>-hora) localizada na mesma unidade federativa, observa</w:t>
      </w:r>
      <w:r w:rsidR="006164D4" w:rsidRPr="00324ECF">
        <w:t>do</w:t>
      </w:r>
      <w:r w:rsidRPr="00324ECF">
        <w:t xml:space="preserve"> que:</w:t>
      </w:r>
    </w:p>
    <w:p w14:paraId="3BA68D9B" w14:textId="77777777" w:rsidR="00F529B6" w:rsidRPr="00324ECF" w:rsidRDefault="00F529B6" w:rsidP="00F529B6">
      <w:pPr>
        <w:pStyle w:val="texto2"/>
      </w:pPr>
      <w:r w:rsidRPr="00324ECF">
        <w:t xml:space="preserve">I – </w:t>
      </w:r>
      <w:proofErr w:type="gramStart"/>
      <w:r w:rsidRPr="00324ECF">
        <w:t>na</w:t>
      </w:r>
      <w:proofErr w:type="gramEnd"/>
      <w:r w:rsidRPr="00324ECF">
        <w:t xml:space="preserve"> verificação das diferenças tarifárias, serão consideradas as tarifas vigentes na data do processo tarifário da concessionária de serviço público de distribuição de energia elétrica com mercado próprio anual inferior a 350 </w:t>
      </w:r>
      <w:proofErr w:type="spellStart"/>
      <w:r w:rsidRPr="00324ECF">
        <w:t>GWh</w:t>
      </w:r>
      <w:proofErr w:type="spellEnd"/>
      <w:r w:rsidRPr="00324ECF">
        <w:t xml:space="preserve"> (trezentos e cinquenta </w:t>
      </w:r>
      <w:proofErr w:type="spellStart"/>
      <w:r w:rsidRPr="00324ECF">
        <w:t>gigawatts</w:t>
      </w:r>
      <w:proofErr w:type="spellEnd"/>
      <w:r w:rsidRPr="00324ECF">
        <w:t>-hora);</w:t>
      </w:r>
    </w:p>
    <w:p w14:paraId="7F935383" w14:textId="5AA0D760" w:rsidR="00F529B6" w:rsidRPr="00324ECF" w:rsidRDefault="00F529B6" w:rsidP="00F529B6">
      <w:pPr>
        <w:pStyle w:val="texto2"/>
      </w:pPr>
      <w:r w:rsidRPr="00324ECF">
        <w:t>II –</w:t>
      </w:r>
      <w:r w:rsidR="00533DAB" w:rsidRPr="00324ECF">
        <w:t xml:space="preserve"> </w:t>
      </w:r>
      <w:proofErr w:type="gramStart"/>
      <w:r w:rsidR="006164D4" w:rsidRPr="00324ECF">
        <w:t>se</w:t>
      </w:r>
      <w:proofErr w:type="gramEnd"/>
      <w:r w:rsidR="006164D4" w:rsidRPr="00324ECF">
        <w:t xml:space="preserve"> houver</w:t>
      </w:r>
      <w:r w:rsidRPr="00324ECF">
        <w:t xml:space="preserve"> mais de uma concessionária de serviço público de distribuição de energia elétrica em área adjacente e com mercado próprio anual superior a 700 </w:t>
      </w:r>
      <w:proofErr w:type="spellStart"/>
      <w:r w:rsidRPr="00324ECF">
        <w:t>GWh</w:t>
      </w:r>
      <w:proofErr w:type="spellEnd"/>
      <w:r w:rsidRPr="00324ECF">
        <w:t xml:space="preserve"> (setecentos </w:t>
      </w:r>
      <w:proofErr w:type="spellStart"/>
      <w:r w:rsidRPr="00324ECF">
        <w:t>gigawatts</w:t>
      </w:r>
      <w:proofErr w:type="spellEnd"/>
      <w:r w:rsidRPr="00324ECF">
        <w:t>-hora) localizada na mesma unidade federativa, prevalece</w:t>
      </w:r>
      <w:r w:rsidR="006164D4" w:rsidRPr="00324ECF">
        <w:t>rá</w:t>
      </w:r>
      <w:r w:rsidRPr="00324ECF">
        <w:t xml:space="preserve"> aquela com menor tarifa residencial; e</w:t>
      </w:r>
    </w:p>
    <w:p w14:paraId="51F7D17C" w14:textId="77777777" w:rsidR="00F529B6" w:rsidRPr="00324ECF" w:rsidRDefault="00F529B6" w:rsidP="00F529B6">
      <w:pPr>
        <w:pStyle w:val="texto2"/>
      </w:pPr>
      <w:r w:rsidRPr="00324ECF">
        <w:t xml:space="preserve">III – a subvenção a que se refere o inciso XVII do </w:t>
      </w:r>
      <w:r w:rsidRPr="00324ECF">
        <w:rPr>
          <w:i/>
        </w:rPr>
        <w:t>caput</w:t>
      </w:r>
      <w:r w:rsidRPr="00324ECF">
        <w:t xml:space="preserve"> </w:t>
      </w:r>
      <w:r w:rsidR="006164D4" w:rsidRPr="00324ECF">
        <w:t xml:space="preserve">deste artigo </w:t>
      </w:r>
      <w:r w:rsidRPr="00324ECF">
        <w:t xml:space="preserve">será calculada no processo </w:t>
      </w:r>
      <w:r w:rsidRPr="00324ECF">
        <w:lastRenderedPageBreak/>
        <w:t xml:space="preserve">tarifário da concessionária de serviço público de distribuição de energia elétrica </w:t>
      </w:r>
      <w:proofErr w:type="gramStart"/>
      <w:r w:rsidR="00156231" w:rsidRPr="00324ECF">
        <w:t>afetada.”</w:t>
      </w:r>
      <w:proofErr w:type="gramEnd"/>
      <w:r w:rsidRPr="00324ECF">
        <w:t>(NR)</w:t>
      </w:r>
    </w:p>
    <w:p w14:paraId="2B2C567E" w14:textId="77777777" w:rsidR="00F529B6" w:rsidRPr="00324ECF" w:rsidRDefault="00F529B6" w:rsidP="00F529B6">
      <w:pPr>
        <w:pStyle w:val="texto1"/>
      </w:pPr>
      <w:r w:rsidRPr="00324ECF">
        <w:t xml:space="preserve">Art. 3º O </w:t>
      </w:r>
      <w:r w:rsidR="006164D4" w:rsidRPr="00324ECF">
        <w:t xml:space="preserve">inciso I do </w:t>
      </w:r>
      <w:r w:rsidR="006164D4" w:rsidRPr="00324ECF">
        <w:rPr>
          <w:i/>
        </w:rPr>
        <w:t>caput</w:t>
      </w:r>
      <w:r w:rsidR="006164D4" w:rsidRPr="00324ECF">
        <w:t xml:space="preserve"> do </w:t>
      </w:r>
      <w:r w:rsidRPr="00324ECF">
        <w:t>art. 4º-E da Lei nº 9.074, de 7 de julho de 1995, passa a vigorar com a seguinte redação:</w:t>
      </w:r>
    </w:p>
    <w:p w14:paraId="5EFEEE72" w14:textId="77777777" w:rsidR="00F529B6" w:rsidRPr="00324ECF" w:rsidRDefault="00F529B6" w:rsidP="00F529B6">
      <w:pPr>
        <w:pStyle w:val="texto2"/>
      </w:pPr>
      <w:r w:rsidRPr="00324ECF">
        <w:t>“Art. 4º-E ..............................</w:t>
      </w:r>
    </w:p>
    <w:p w14:paraId="750E80F9" w14:textId="77777777" w:rsidR="00F529B6" w:rsidRPr="00324ECF" w:rsidRDefault="00F529B6" w:rsidP="00F529B6">
      <w:pPr>
        <w:pStyle w:val="texto2"/>
      </w:pPr>
      <w:r w:rsidRPr="00324ECF">
        <w:t xml:space="preserve">I – 25% (vinte e cinco por cento) do valor da subvenção de que tratam os incisos XIII e XVII do </w:t>
      </w:r>
      <w:r w:rsidRPr="00324ECF">
        <w:rPr>
          <w:i/>
        </w:rPr>
        <w:t>caput</w:t>
      </w:r>
      <w:r w:rsidRPr="00324ECF">
        <w:t xml:space="preserve"> do art. 13 da Lei nº 10.438, de 26 de abril de 2002, recebida pela prestadora de serviço público de distribuição de energia elétrica adquirida; ou</w:t>
      </w:r>
    </w:p>
    <w:p w14:paraId="4876D06F" w14:textId="77777777" w:rsidR="00F529B6" w:rsidRPr="00324ECF" w:rsidRDefault="00F529B6" w:rsidP="00F529B6">
      <w:pPr>
        <w:pStyle w:val="texto2"/>
        <w:ind w:firstLine="0"/>
      </w:pPr>
      <w:r w:rsidRPr="00324ECF">
        <w:t>..............................................</w:t>
      </w:r>
      <w:proofErr w:type="gramStart"/>
      <w:r w:rsidRPr="00324ECF">
        <w:t>”(</w:t>
      </w:r>
      <w:proofErr w:type="gramEnd"/>
      <w:r w:rsidRPr="00324ECF">
        <w:t>NR)</w:t>
      </w:r>
    </w:p>
    <w:p w14:paraId="11271575" w14:textId="497336DA" w:rsidR="00BD1927" w:rsidRPr="00324ECF" w:rsidRDefault="00BD1927" w:rsidP="00BD1927">
      <w:pPr>
        <w:pStyle w:val="texto1"/>
      </w:pPr>
      <w:r w:rsidRPr="00324ECF">
        <w:t xml:space="preserve">Art. 4º Fica criado o Programa de Transição Energética Justa (TEJ), com vistas a promover uma transição energética justa para a região carbonífera </w:t>
      </w:r>
      <w:r w:rsidR="00454A8B" w:rsidRPr="00324ECF">
        <w:t xml:space="preserve">do Estado de </w:t>
      </w:r>
      <w:r w:rsidRPr="00324ECF">
        <w:t xml:space="preserve">Santa Catarina, </w:t>
      </w:r>
      <w:r w:rsidR="006164D4" w:rsidRPr="00324ECF">
        <w:t>observados</w:t>
      </w:r>
      <w:r w:rsidR="00CC71AF" w:rsidRPr="00324ECF">
        <w:t xml:space="preserve"> os</w:t>
      </w:r>
      <w:r w:rsidRPr="00324ECF">
        <w:t xml:space="preserve"> impactos ambientais, econômicos e sociais e a valorização dos recursos energéticos e minerais alinhada à neutralidade de carbono a ser atingida em conformidade com as metas definidas pelo governo federal, que incluirá também a contratação de energia elétrica gerada pelo Complexo Termelétrico Jorge Lacerda (CTJL), na modalidade energia de reserva prevista nos </w:t>
      </w:r>
      <w:proofErr w:type="spellStart"/>
      <w:r w:rsidRPr="00324ECF">
        <w:t>arts</w:t>
      </w:r>
      <w:proofErr w:type="spellEnd"/>
      <w:r w:rsidRPr="00324ECF">
        <w:t>. 3º e 3º-A da Lei nº 10.848, de 15 de março de 2004, em quantidade correspondente ao consumo do montante mínimo de compra de carvão mineral nacional estipulado nos contratos vigentes na data de publicação desta Lei.</w:t>
      </w:r>
    </w:p>
    <w:p w14:paraId="236EE8E5" w14:textId="640C2A86" w:rsidR="00BD1927" w:rsidRPr="00324ECF" w:rsidRDefault="00BD1927" w:rsidP="00BD1927">
      <w:pPr>
        <w:pStyle w:val="texto1"/>
      </w:pPr>
      <w:r w:rsidRPr="00324ECF">
        <w:t xml:space="preserve">§ 1º O TEJ tem o objetivo de preparar a região carbonífera </w:t>
      </w:r>
      <w:r w:rsidR="00454A8B" w:rsidRPr="00324ECF">
        <w:t xml:space="preserve">do Estado </w:t>
      </w:r>
      <w:r w:rsidRPr="00324ECF">
        <w:t xml:space="preserve">de Santa Catarina para provável encerramento, até 2040, da atividade de geração termelétrica </w:t>
      </w:r>
      <w:r w:rsidRPr="00324ECF">
        <w:lastRenderedPageBreak/>
        <w:t>a carvão mineral nacional sem abatimento da emissão de gás carbônico (CO2), com consequente finalização da exploração desse minério na região para esse fim, de forma tempestiva, responsável e sustentável.</w:t>
      </w:r>
    </w:p>
    <w:p w14:paraId="70E9664A" w14:textId="77777777" w:rsidR="00BD1927" w:rsidRPr="00324ECF" w:rsidRDefault="00BD1927" w:rsidP="00BD1927">
      <w:pPr>
        <w:pStyle w:val="texto1"/>
      </w:pPr>
      <w:r w:rsidRPr="00324ECF">
        <w:t>§ 2º O TEJ será implementado por meio do Conselho do TEJ</w:t>
      </w:r>
      <w:r w:rsidR="00CC71AF" w:rsidRPr="00324ECF">
        <w:t>,</w:t>
      </w:r>
      <w:r w:rsidRPr="00324ECF">
        <w:t xml:space="preserve"> formado por representantes dos seguintes órgãos e entidades:</w:t>
      </w:r>
    </w:p>
    <w:p w14:paraId="45062190" w14:textId="77777777" w:rsidR="00BD1927" w:rsidRPr="00324ECF" w:rsidRDefault="00BD1927" w:rsidP="00BD1927">
      <w:pPr>
        <w:pStyle w:val="texto1"/>
      </w:pPr>
      <w:r w:rsidRPr="00324ECF">
        <w:t>I – Casa Civil da Presidência da República, que o coordenará;</w:t>
      </w:r>
    </w:p>
    <w:p w14:paraId="174274BF" w14:textId="7F8FE357" w:rsidR="00BD1927" w:rsidRPr="00324ECF" w:rsidRDefault="00BD1927" w:rsidP="00BD1927">
      <w:pPr>
        <w:pStyle w:val="texto1"/>
      </w:pPr>
      <w:r w:rsidRPr="00324ECF">
        <w:t>II – Ministério de Minas e Energia;</w:t>
      </w:r>
    </w:p>
    <w:p w14:paraId="6B857849" w14:textId="0253F0DC" w:rsidR="00BD1927" w:rsidRPr="00324ECF" w:rsidRDefault="00BD1927" w:rsidP="00BD1927">
      <w:pPr>
        <w:pStyle w:val="texto1"/>
      </w:pPr>
      <w:r w:rsidRPr="00324ECF">
        <w:t>III – Operador Nacional do Sistema</w:t>
      </w:r>
      <w:r w:rsidR="00454A8B" w:rsidRPr="00324ECF">
        <w:t xml:space="preserve"> Elétrico</w:t>
      </w:r>
      <w:r w:rsidRPr="00324ECF">
        <w:t>;</w:t>
      </w:r>
    </w:p>
    <w:p w14:paraId="7A646B7F" w14:textId="115C0D61" w:rsidR="00BD1927" w:rsidRPr="00324ECF" w:rsidRDefault="00BD1927" w:rsidP="00BD1927">
      <w:pPr>
        <w:pStyle w:val="texto1"/>
      </w:pPr>
      <w:r w:rsidRPr="00324ECF">
        <w:t xml:space="preserve">IV – Ministério </w:t>
      </w:r>
      <w:r w:rsidR="005C6BF6" w:rsidRPr="00324ECF">
        <w:t xml:space="preserve">do </w:t>
      </w:r>
      <w:r w:rsidRPr="00324ECF">
        <w:t>Meio Ambiente;</w:t>
      </w:r>
    </w:p>
    <w:p w14:paraId="797CE563" w14:textId="1379FE2F" w:rsidR="00BD1927" w:rsidRPr="00324ECF" w:rsidRDefault="00BD1927" w:rsidP="00BD1927">
      <w:pPr>
        <w:pStyle w:val="texto1"/>
      </w:pPr>
      <w:r w:rsidRPr="00324ECF">
        <w:t>V – Ministério do Desenvolvimento Regional;</w:t>
      </w:r>
    </w:p>
    <w:p w14:paraId="477909B7" w14:textId="77777777" w:rsidR="00BD1927" w:rsidRPr="00324ECF" w:rsidRDefault="00BD1927" w:rsidP="00BD1927">
      <w:pPr>
        <w:pStyle w:val="texto1"/>
      </w:pPr>
      <w:r w:rsidRPr="00324ECF">
        <w:t>VI – Governo do Estado de Santa Catarina;</w:t>
      </w:r>
    </w:p>
    <w:p w14:paraId="097689F9" w14:textId="2B2A2129" w:rsidR="00BD1927" w:rsidRPr="00324ECF" w:rsidRDefault="00BD1927" w:rsidP="00BD1927">
      <w:pPr>
        <w:pStyle w:val="texto1"/>
      </w:pPr>
      <w:r w:rsidRPr="00324ECF">
        <w:t>VII – Associação dos Municípios da Região Carbonífera (AMREC)</w:t>
      </w:r>
      <w:r w:rsidR="00CC71AF" w:rsidRPr="00324ECF">
        <w:t xml:space="preserve"> de Santa Catarina</w:t>
      </w:r>
      <w:r w:rsidRPr="00324ECF">
        <w:t>;</w:t>
      </w:r>
    </w:p>
    <w:p w14:paraId="2397DCCA" w14:textId="0C819C85" w:rsidR="00BD1927" w:rsidRPr="00324ECF" w:rsidRDefault="00BD1927" w:rsidP="00BD1927">
      <w:pPr>
        <w:pStyle w:val="texto1"/>
      </w:pPr>
      <w:r w:rsidRPr="00324ECF">
        <w:t>VIII – Sindicato da Indústria de Extração de Carvão do Estado de Santa Catarina (</w:t>
      </w:r>
      <w:proofErr w:type="spellStart"/>
      <w:r w:rsidR="00CC71AF" w:rsidRPr="00324ECF">
        <w:t>Siecesc</w:t>
      </w:r>
      <w:proofErr w:type="spellEnd"/>
      <w:r w:rsidRPr="00324ECF">
        <w:t>);</w:t>
      </w:r>
    </w:p>
    <w:p w14:paraId="13FE083A" w14:textId="4A19108A" w:rsidR="00BD1927" w:rsidRPr="00324ECF" w:rsidRDefault="00BD1927" w:rsidP="00BD1927">
      <w:pPr>
        <w:pStyle w:val="texto1"/>
      </w:pPr>
      <w:r w:rsidRPr="00324ECF">
        <w:t xml:space="preserve">IX – Associação Brasileira do Carvão Mineral </w:t>
      </w:r>
      <w:r w:rsidR="00CC71AF" w:rsidRPr="00324ECF">
        <w:t>(</w:t>
      </w:r>
      <w:r w:rsidRPr="00324ECF">
        <w:t>ABCM</w:t>
      </w:r>
      <w:r w:rsidR="00CC71AF" w:rsidRPr="00324ECF">
        <w:t>)</w:t>
      </w:r>
      <w:r w:rsidRPr="00324ECF">
        <w:t>;</w:t>
      </w:r>
    </w:p>
    <w:p w14:paraId="138E608E" w14:textId="23947E7C" w:rsidR="00BD1927" w:rsidRPr="00324ECF" w:rsidRDefault="00BD1927" w:rsidP="00BD1927">
      <w:pPr>
        <w:pStyle w:val="texto1"/>
      </w:pPr>
      <w:r w:rsidRPr="00324ECF">
        <w:t xml:space="preserve">X – Federação Interestadual dos </w:t>
      </w:r>
      <w:r w:rsidR="00CC71AF" w:rsidRPr="00324ECF">
        <w:t>T</w:t>
      </w:r>
      <w:r w:rsidRPr="00324ECF">
        <w:t xml:space="preserve">rabalhadores </w:t>
      </w:r>
      <w:r w:rsidR="00454A8B" w:rsidRPr="00324ECF">
        <w:t>d</w:t>
      </w:r>
      <w:r w:rsidR="00CC71AF" w:rsidRPr="00324ECF">
        <w:t>a</w:t>
      </w:r>
      <w:r w:rsidR="00533DAB" w:rsidRPr="00324ECF">
        <w:t xml:space="preserve"> </w:t>
      </w:r>
      <w:r w:rsidRPr="00324ECF">
        <w:t xml:space="preserve">Indústria da Extração </w:t>
      </w:r>
      <w:r w:rsidR="00454A8B" w:rsidRPr="00324ECF">
        <w:t>de</w:t>
      </w:r>
      <w:r w:rsidR="00533DAB" w:rsidRPr="00324ECF">
        <w:t xml:space="preserve"> </w:t>
      </w:r>
      <w:r w:rsidRPr="00324ECF">
        <w:t>Carvão no Sul do País.</w:t>
      </w:r>
    </w:p>
    <w:p w14:paraId="581AE600" w14:textId="58D7FE5D" w:rsidR="00BD1927" w:rsidRPr="00324ECF" w:rsidRDefault="00BD1927" w:rsidP="00BD1927">
      <w:pPr>
        <w:pStyle w:val="texto1"/>
      </w:pPr>
      <w:r w:rsidRPr="00324ECF">
        <w:t xml:space="preserve">§ 3º Ao Conselho do TEJ competirá estabelecer, em até 12 (doze) meses da publicação desta </w:t>
      </w:r>
      <w:r w:rsidR="00CC71AF" w:rsidRPr="00324ECF">
        <w:t>L</w:t>
      </w:r>
      <w:r w:rsidRPr="00324ECF">
        <w:t>ei, o Plano de Transição Justa, com ações, indicação dos responsáveis dentro das competências de cada parte, prazos e, quando couber, fontes de recursos.</w:t>
      </w:r>
    </w:p>
    <w:p w14:paraId="1AF6739B" w14:textId="77777777" w:rsidR="00BD1927" w:rsidRPr="00324ECF" w:rsidRDefault="00BD1927" w:rsidP="00BD1927">
      <w:pPr>
        <w:pStyle w:val="texto1"/>
      </w:pPr>
      <w:r w:rsidRPr="00324ECF">
        <w:t xml:space="preserve">§ 4º O Plano de Transição Justa de que trata o § 3º </w:t>
      </w:r>
      <w:r w:rsidR="00CC71AF" w:rsidRPr="00324ECF">
        <w:t xml:space="preserve">deste artigo </w:t>
      </w:r>
      <w:r w:rsidRPr="00324ECF">
        <w:t xml:space="preserve">será implementado pelos órgãos, </w:t>
      </w:r>
      <w:r w:rsidR="00055705" w:rsidRPr="00324ECF">
        <w:t xml:space="preserve">pelas </w:t>
      </w:r>
      <w:r w:rsidRPr="00324ECF">
        <w:t xml:space="preserve">entidades </w:t>
      </w:r>
      <w:r w:rsidRPr="00324ECF">
        <w:lastRenderedPageBreak/>
        <w:t xml:space="preserve">e </w:t>
      </w:r>
      <w:r w:rsidR="00055705" w:rsidRPr="00324ECF">
        <w:t xml:space="preserve">pelas </w:t>
      </w:r>
      <w:r w:rsidRPr="00324ECF">
        <w:t>instituições, públicas e privadas, de acordo com os prazos estabelecidos no referido Plano.</w:t>
      </w:r>
    </w:p>
    <w:p w14:paraId="7BBDC078" w14:textId="77777777" w:rsidR="00BD1927" w:rsidRPr="00324ECF" w:rsidRDefault="00BD1927" w:rsidP="00BD1927">
      <w:pPr>
        <w:pStyle w:val="texto1"/>
      </w:pPr>
      <w:r w:rsidRPr="00324ECF">
        <w:t>§ 5º Ao Conselho do TEJ competirá, ainda:</w:t>
      </w:r>
    </w:p>
    <w:p w14:paraId="398DC084" w14:textId="0F48433A" w:rsidR="00BD1927" w:rsidRPr="00324ECF" w:rsidRDefault="00BD1927" w:rsidP="00BD1927">
      <w:pPr>
        <w:pStyle w:val="texto1"/>
      </w:pPr>
      <w:r w:rsidRPr="00324ECF">
        <w:t xml:space="preserve">I – </w:t>
      </w:r>
      <w:proofErr w:type="gramStart"/>
      <w:r w:rsidRPr="00324ECF">
        <w:t>atuar</w:t>
      </w:r>
      <w:proofErr w:type="gramEnd"/>
      <w:r w:rsidRPr="00324ECF">
        <w:t xml:space="preserve"> com vistas a que possíveis novos passivos ambientais decorrentes da atividade de mineração não sejam constituídos, zelando pelo cumprimento pelos responsáveis, nos termos da legislação aplicável, das obrigações ambientais e trabalhistas e pelo fechamento sustentável das minas;</w:t>
      </w:r>
    </w:p>
    <w:p w14:paraId="0E1F6AC9" w14:textId="7A54B1E2" w:rsidR="00BD1927" w:rsidRPr="00324ECF" w:rsidRDefault="00BD1927" w:rsidP="00BD1927">
      <w:pPr>
        <w:pStyle w:val="texto1"/>
      </w:pPr>
      <w:r w:rsidRPr="00324ECF">
        <w:t xml:space="preserve">II – </w:t>
      </w:r>
      <w:proofErr w:type="gramStart"/>
      <w:r w:rsidRPr="00324ECF">
        <w:t>acompanhar</w:t>
      </w:r>
      <w:proofErr w:type="gramEnd"/>
      <w:r w:rsidRPr="00324ECF">
        <w:t xml:space="preserve"> todas as ações judiciais relacionadas a questões ambientais existentes decorrentes da atividade de mineração de carvão, atuando para facilitar o cumprime</w:t>
      </w:r>
      <w:r w:rsidR="00A019FE" w:rsidRPr="00324ECF">
        <w:t xml:space="preserve">nto das obrigações delas </w:t>
      </w:r>
      <w:r w:rsidR="00055705" w:rsidRPr="00324ECF">
        <w:t>advindas</w:t>
      </w:r>
      <w:r w:rsidRPr="00324ECF">
        <w:t xml:space="preserve"> pelos responsáveis, nos termos das decisões judiciais;</w:t>
      </w:r>
    </w:p>
    <w:p w14:paraId="66506AE6" w14:textId="77777777" w:rsidR="00BD1927" w:rsidRPr="00324ECF" w:rsidRDefault="00BD1927" w:rsidP="00BD1927">
      <w:pPr>
        <w:pStyle w:val="texto1"/>
      </w:pPr>
      <w:r w:rsidRPr="00324ECF">
        <w:t>III – identificar fontes de recursos que possam ser aplicados para recuperação ambiental da região, sem afastar a responsabilização dos causadores dos danos ambientais eventualmente não reparados;</w:t>
      </w:r>
    </w:p>
    <w:p w14:paraId="3621D724" w14:textId="6CFAA68A" w:rsidR="00BD1927" w:rsidRPr="00324ECF" w:rsidRDefault="00BD1927" w:rsidP="00BD1927">
      <w:pPr>
        <w:pStyle w:val="texto1"/>
      </w:pPr>
      <w:r w:rsidRPr="00324ECF">
        <w:t xml:space="preserve">IV – </w:t>
      </w:r>
      <w:proofErr w:type="gramStart"/>
      <w:r w:rsidRPr="00324ECF">
        <w:t>propor</w:t>
      </w:r>
      <w:proofErr w:type="gramEnd"/>
      <w:r w:rsidRPr="00324ECF">
        <w:t xml:space="preserve"> programas de diversificação e/ou </w:t>
      </w:r>
      <w:r w:rsidR="00536AB6" w:rsidRPr="00324ECF">
        <w:t xml:space="preserve">de </w:t>
      </w:r>
      <w:r w:rsidRPr="00324ECF">
        <w:t xml:space="preserve">reposicionamento econômico da região e da parcela da população ocupada </w:t>
      </w:r>
      <w:r w:rsidR="00A019FE" w:rsidRPr="00324ECF">
        <w:t xml:space="preserve">atualmente </w:t>
      </w:r>
      <w:r w:rsidRPr="00324ECF">
        <w:t xml:space="preserve">nas atividades de mineração de carvão e de geração de energia termelétrica a partir do carvão mineral, aproveitando outras vocações locais, </w:t>
      </w:r>
      <w:r w:rsidR="00A019FE" w:rsidRPr="00324ECF">
        <w:t>bem</w:t>
      </w:r>
      <w:r w:rsidRPr="00324ECF">
        <w:t xml:space="preserve"> como infraestruturas existentes na região, </w:t>
      </w:r>
      <w:r w:rsidR="00A019FE" w:rsidRPr="00324ECF">
        <w:t xml:space="preserve">tais </w:t>
      </w:r>
      <w:r w:rsidRPr="00324ECF">
        <w:t>como a Ferrovia Tereza Cristina e o Porto de Imbituba;</w:t>
      </w:r>
    </w:p>
    <w:p w14:paraId="4B4754E6" w14:textId="1E391786" w:rsidR="00BD1927" w:rsidRPr="00324ECF" w:rsidRDefault="00BD1927" w:rsidP="00BD1927">
      <w:pPr>
        <w:pStyle w:val="texto1"/>
      </w:pPr>
      <w:r w:rsidRPr="00324ECF">
        <w:t xml:space="preserve">V – </w:t>
      </w:r>
      <w:proofErr w:type="gramStart"/>
      <w:r w:rsidRPr="00324ECF">
        <w:t>envidar</w:t>
      </w:r>
      <w:proofErr w:type="gramEnd"/>
      <w:r w:rsidRPr="00324ECF">
        <w:t xml:space="preserve"> esforços para a destinação de recursos para o desenvolvimento das atividades necessárias </w:t>
      </w:r>
      <w:r w:rsidR="00536AB6" w:rsidRPr="00324ECF">
        <w:t>a</w:t>
      </w:r>
      <w:r w:rsidRPr="00324ECF">
        <w:t xml:space="preserve">o fechamento das minas de carvão e reposicionamento das atividades econômicas na região </w:t>
      </w:r>
      <w:r w:rsidR="00536AB6" w:rsidRPr="00324ECF">
        <w:t>perante</w:t>
      </w:r>
      <w:r w:rsidRPr="00324ECF">
        <w:t xml:space="preserve"> instituições de </w:t>
      </w:r>
      <w:r w:rsidRPr="00324ECF">
        <w:lastRenderedPageBreak/>
        <w:t>fomento, multilaterais ou internacionais, com experiência ou eventual interesse nessas atividades; e</w:t>
      </w:r>
    </w:p>
    <w:p w14:paraId="0A90C6B6" w14:textId="2BE54550" w:rsidR="00BD1927" w:rsidRPr="00324ECF" w:rsidRDefault="00BD1927" w:rsidP="00BD1927">
      <w:pPr>
        <w:pStyle w:val="texto1"/>
      </w:pPr>
      <w:r w:rsidRPr="00324ECF">
        <w:t xml:space="preserve">VI – </w:t>
      </w:r>
      <w:proofErr w:type="gramStart"/>
      <w:r w:rsidRPr="00324ECF">
        <w:t>considerar</w:t>
      </w:r>
      <w:proofErr w:type="gramEnd"/>
      <w:r w:rsidRPr="00324ECF">
        <w:t>, em sua atuação, as capacidades locais para o desenvolvimento tecnológico com vistas a possibilitar outros usos ao</w:t>
      </w:r>
      <w:r w:rsidR="00E2325F" w:rsidRPr="00324ECF">
        <w:t xml:space="preserve"> </w:t>
      </w:r>
      <w:r w:rsidRPr="00324ECF">
        <w:t>carvão mineral da região ou a continuidade da geração termelétrica a carvão com emissões líquidas de carbono iguais a zero a partir de 2050.</w:t>
      </w:r>
    </w:p>
    <w:p w14:paraId="6F23EEB5" w14:textId="73A4E657" w:rsidR="00BD1927" w:rsidRPr="00324ECF" w:rsidRDefault="00BD1927" w:rsidP="00BD1927">
      <w:pPr>
        <w:pStyle w:val="texto1"/>
      </w:pPr>
      <w:r w:rsidRPr="00324ECF">
        <w:t xml:space="preserve">Art. 5º As concessionárias de geração e as empresas autorizadas à produção independente de energia elétrica instaladas no Estado de Santa Catarina que utilizem o carvão mineral como fonte energética deverão aplicar a totalidade do montante de que trata o inciso II do </w:t>
      </w:r>
      <w:r w:rsidR="00536AB6" w:rsidRPr="00324ECF">
        <w:rPr>
          <w:i/>
        </w:rPr>
        <w:t>caput</w:t>
      </w:r>
      <w:r w:rsidR="00536AB6" w:rsidRPr="00324ECF">
        <w:t xml:space="preserve"> do </w:t>
      </w:r>
      <w:r w:rsidRPr="00324ECF">
        <w:t xml:space="preserve">art. 4º da Lei </w:t>
      </w:r>
      <w:r w:rsidR="00536AB6" w:rsidRPr="00324ECF">
        <w:t>nº</w:t>
      </w:r>
      <w:r w:rsidRPr="00324ECF">
        <w:t xml:space="preserve"> 9.991, de 24 de julho de 2000, em projetos de pesquisa e desenvol</w:t>
      </w:r>
      <w:r w:rsidR="00C40574" w:rsidRPr="00324ECF">
        <w:t>vimento tecnológico associados ao</w:t>
      </w:r>
      <w:r w:rsidRPr="00324ECF">
        <w:t xml:space="preserve"> TEJ.</w:t>
      </w:r>
    </w:p>
    <w:p w14:paraId="5089979B" w14:textId="164B3E59" w:rsidR="00BD1927" w:rsidRPr="00324ECF" w:rsidRDefault="00BD1927" w:rsidP="00BD1927">
      <w:pPr>
        <w:pStyle w:val="texto1"/>
      </w:pPr>
      <w:r w:rsidRPr="00324ECF">
        <w:t xml:space="preserve">Art. 6º A União prorrogará a outorga de autorização do CTJL por 15 (quinze) anos a partir de 1º de janeiro de 2025, desde que cumpridas todas as </w:t>
      </w:r>
      <w:r w:rsidR="002E4E4E" w:rsidRPr="00324ECF">
        <w:t>seguintes</w:t>
      </w:r>
      <w:r w:rsidR="00E07750" w:rsidRPr="00324ECF">
        <w:t xml:space="preserve"> condições</w:t>
      </w:r>
      <w:r w:rsidRPr="00324ECF">
        <w:t>:</w:t>
      </w:r>
    </w:p>
    <w:p w14:paraId="4989E6E8" w14:textId="77777777" w:rsidR="00BD1927" w:rsidRPr="00324ECF" w:rsidRDefault="00BD1927" w:rsidP="00BD1927">
      <w:pPr>
        <w:pStyle w:val="texto1"/>
      </w:pPr>
      <w:r w:rsidRPr="00324ECF">
        <w:t xml:space="preserve">I – </w:t>
      </w:r>
      <w:proofErr w:type="gramStart"/>
      <w:r w:rsidRPr="00324ECF">
        <w:t>solicitação</w:t>
      </w:r>
      <w:proofErr w:type="gramEnd"/>
      <w:r w:rsidRPr="00324ECF">
        <w:t xml:space="preserve"> de prorrogação da autorização de que trata o </w:t>
      </w:r>
      <w:r w:rsidRPr="00324ECF">
        <w:rPr>
          <w:i/>
        </w:rPr>
        <w:t>caput</w:t>
      </w:r>
      <w:r w:rsidRPr="00324ECF">
        <w:t xml:space="preserve"> </w:t>
      </w:r>
      <w:r w:rsidR="00E2325F" w:rsidRPr="00324ECF">
        <w:t xml:space="preserve">deste artigo </w:t>
      </w:r>
      <w:r w:rsidRPr="00324ECF">
        <w:t>pelo titular da autorização do CTJL até 30 de junho de 2022;</w:t>
      </w:r>
    </w:p>
    <w:p w14:paraId="4A6C24B4" w14:textId="5FA39EDE" w:rsidR="00BD1927" w:rsidRPr="00324ECF" w:rsidRDefault="00BD1927" w:rsidP="00BD1927">
      <w:pPr>
        <w:pStyle w:val="texto1"/>
      </w:pPr>
      <w:r w:rsidRPr="00324ECF">
        <w:t xml:space="preserve">II – </w:t>
      </w:r>
      <w:proofErr w:type="gramStart"/>
      <w:r w:rsidRPr="00324ECF">
        <w:t>assentimento</w:t>
      </w:r>
      <w:proofErr w:type="gramEnd"/>
      <w:r w:rsidRPr="00324ECF">
        <w:t xml:space="preserve"> pelo titular da autorização do CTJL </w:t>
      </w:r>
      <w:r w:rsidR="00DF256E" w:rsidRPr="00324ECF">
        <w:t xml:space="preserve">a </w:t>
      </w:r>
      <w:r w:rsidRPr="00324ECF">
        <w:t>que as respectivas usinas termelétricas ficarão disponíveis para geração de energia elétrica de acordo com as necessidades do Sistema Interligado Nacional, informadas pelo Operador Nacional do Sistema Elétrico;</w:t>
      </w:r>
    </w:p>
    <w:p w14:paraId="31C8DFBD" w14:textId="6105EEDA" w:rsidR="00BD1927" w:rsidRPr="00324ECF" w:rsidRDefault="00BD1927" w:rsidP="00BD1927">
      <w:pPr>
        <w:pStyle w:val="texto1"/>
      </w:pPr>
      <w:r w:rsidRPr="00324ECF">
        <w:t xml:space="preserve">III – contratação da energia elétrica gerada pelo CTJL na modalidade de energia de reserva prevista nos </w:t>
      </w:r>
      <w:proofErr w:type="spellStart"/>
      <w:r w:rsidRPr="00324ECF">
        <w:t>arts</w:t>
      </w:r>
      <w:proofErr w:type="spellEnd"/>
      <w:r w:rsidRPr="00324ECF">
        <w:t xml:space="preserve">. 3º e 3º-A da Lei nº 10.848, de 15 de março de 2004, por meio de </w:t>
      </w:r>
      <w:r w:rsidR="002E4E4E" w:rsidRPr="00324ECF">
        <w:t xml:space="preserve">Contrato </w:t>
      </w:r>
      <w:r w:rsidR="00533DAB" w:rsidRPr="00324ECF">
        <w:t xml:space="preserve">de </w:t>
      </w:r>
      <w:r w:rsidR="002E4E4E" w:rsidRPr="00324ECF">
        <w:t xml:space="preserve">Energia </w:t>
      </w:r>
      <w:r w:rsidR="00533DAB" w:rsidRPr="00324ECF">
        <w:t xml:space="preserve">de </w:t>
      </w:r>
      <w:r w:rsidR="002E4E4E" w:rsidRPr="00324ECF">
        <w:t xml:space="preserve">Reserva </w:t>
      </w:r>
      <w:r w:rsidRPr="00324ECF">
        <w:t xml:space="preserve">elaborado pelo Ministério de </w:t>
      </w:r>
      <w:r w:rsidRPr="00324ECF">
        <w:lastRenderedPageBreak/>
        <w:t>Minas e Energia, ao preço calculado pela Empresa de Pesquisa Energética, ob</w:t>
      </w:r>
      <w:r w:rsidR="002E4E4E" w:rsidRPr="00324ECF">
        <w:t xml:space="preserve">servada a modicidade tarifária e considerada </w:t>
      </w:r>
      <w:r w:rsidRPr="00324ECF">
        <w:t>a compra mínima de carvão mineral nacional estipulada nos contratos vigentes na data de publicação desta Lei.</w:t>
      </w:r>
    </w:p>
    <w:p w14:paraId="023C210B" w14:textId="6537C5BC" w:rsidR="00BD1927" w:rsidRPr="00324ECF" w:rsidRDefault="00BD1927" w:rsidP="00BD1927">
      <w:pPr>
        <w:pStyle w:val="texto1"/>
      </w:pPr>
      <w:r w:rsidRPr="00324ECF">
        <w:t xml:space="preserve">§ 1º Os </w:t>
      </w:r>
      <w:r w:rsidR="002E4E4E" w:rsidRPr="00324ECF">
        <w:t xml:space="preserve">Contratos </w:t>
      </w:r>
      <w:r w:rsidRPr="00324ECF">
        <w:t xml:space="preserve">de </w:t>
      </w:r>
      <w:r w:rsidR="002E4E4E" w:rsidRPr="00324ECF">
        <w:t xml:space="preserve">Energia </w:t>
      </w:r>
      <w:r w:rsidRPr="00324ECF">
        <w:t xml:space="preserve">de </w:t>
      </w:r>
      <w:r w:rsidR="002E4E4E" w:rsidRPr="00324ECF">
        <w:t xml:space="preserve">Reserva </w:t>
      </w:r>
      <w:r w:rsidRPr="00324ECF">
        <w:t xml:space="preserve">de que trata o inciso III do </w:t>
      </w:r>
      <w:r w:rsidRPr="00324ECF">
        <w:rPr>
          <w:i/>
        </w:rPr>
        <w:t>caput</w:t>
      </w:r>
      <w:r w:rsidRPr="00324ECF">
        <w:t xml:space="preserve"> deste artigo estabelecerão, no mínimo:</w:t>
      </w:r>
    </w:p>
    <w:p w14:paraId="57CC4C21" w14:textId="1CEC8CD9" w:rsidR="00BD1927" w:rsidRPr="00324ECF" w:rsidRDefault="00BD1927" w:rsidP="00BD1927">
      <w:pPr>
        <w:pStyle w:val="texto1"/>
      </w:pPr>
      <w:r w:rsidRPr="00324ECF">
        <w:t xml:space="preserve">I – </w:t>
      </w:r>
      <w:proofErr w:type="gramStart"/>
      <w:r w:rsidRPr="00324ECF">
        <w:t>a</w:t>
      </w:r>
      <w:proofErr w:type="gramEnd"/>
      <w:r w:rsidRPr="00324ECF">
        <w:t xml:space="preserve"> quantidade de energia elétrica a ser adquirida na modalidade de energia de reserva, definida em base anual, em montante suficiente para consumir o volume de compra de combustível estipulada nos contratos vigentes dos referidos empreendimentos na data de publicação desta Lei</w:t>
      </w:r>
      <w:r w:rsidR="00D356D9" w:rsidRPr="00324ECF">
        <w:t>;</w:t>
      </w:r>
    </w:p>
    <w:p w14:paraId="3E283951" w14:textId="77777777" w:rsidR="002E4E4E" w:rsidRPr="00324ECF" w:rsidRDefault="00BD1927" w:rsidP="00BD1927">
      <w:pPr>
        <w:pStyle w:val="texto1"/>
      </w:pPr>
      <w:r w:rsidRPr="00324ECF">
        <w:t xml:space="preserve">II – </w:t>
      </w:r>
      <w:proofErr w:type="gramStart"/>
      <w:r w:rsidRPr="00324ECF">
        <w:t>que</w:t>
      </w:r>
      <w:proofErr w:type="gramEnd"/>
      <w:r w:rsidRPr="00324ECF">
        <w:t xml:space="preserve"> a energia elétrica produzida que exceder o montante contratado nos termos do inc</w:t>
      </w:r>
      <w:r w:rsidR="00D356D9" w:rsidRPr="00324ECF">
        <w:t>iso</w:t>
      </w:r>
      <w:r w:rsidRPr="00324ECF">
        <w:t xml:space="preserve"> III do </w:t>
      </w:r>
      <w:r w:rsidRPr="00324ECF">
        <w:rPr>
          <w:i/>
        </w:rPr>
        <w:t>caput</w:t>
      </w:r>
      <w:r w:rsidRPr="00324ECF">
        <w:t xml:space="preserve"> deste artigo constituirá lastro para venda de energia e poderá ser livremente negociada pelo empreendedor por sua conta e risco, ficando ele responsável pelos custos associados à produção de energia;</w:t>
      </w:r>
    </w:p>
    <w:p w14:paraId="106DC8F9" w14:textId="282BAFA5" w:rsidR="00BD1927" w:rsidRPr="00324ECF" w:rsidRDefault="00BD1927" w:rsidP="00BD1927">
      <w:pPr>
        <w:pStyle w:val="texto1"/>
      </w:pPr>
      <w:r w:rsidRPr="00324ECF">
        <w:t>III – uma receita fixa suficiente para cobrir os custos associados à geração contratual de que trata es</w:t>
      </w:r>
      <w:r w:rsidR="00D356D9" w:rsidRPr="00324ECF">
        <w:t>t</w:t>
      </w:r>
      <w:r w:rsidRPr="00324ECF">
        <w:t>e parágrafo, inclu</w:t>
      </w:r>
      <w:r w:rsidR="00D356D9" w:rsidRPr="00324ECF">
        <w:t>ídos</w:t>
      </w:r>
      <w:r w:rsidRPr="00324ECF">
        <w:t xml:space="preserve"> custos com combustível primário e secundário associados, custos variáveis operacionais, </w:t>
      </w:r>
      <w:r w:rsidR="00D356D9" w:rsidRPr="00324ECF">
        <w:t xml:space="preserve">bem </w:t>
      </w:r>
      <w:r w:rsidRPr="00324ECF">
        <w:t>como a adequada remuneração do custo de capital empregado nos empreendimentos;</w:t>
      </w:r>
    </w:p>
    <w:p w14:paraId="5EC3B047" w14:textId="77777777" w:rsidR="00BD1927" w:rsidRPr="00324ECF" w:rsidRDefault="00BD1927" w:rsidP="00BD1927">
      <w:pPr>
        <w:pStyle w:val="texto1"/>
      </w:pPr>
      <w:r w:rsidRPr="00324ECF">
        <w:t xml:space="preserve">IV – </w:t>
      </w:r>
      <w:proofErr w:type="gramStart"/>
      <w:r w:rsidRPr="00324ECF">
        <w:t>que</w:t>
      </w:r>
      <w:proofErr w:type="gramEnd"/>
      <w:r w:rsidRPr="00324ECF">
        <w:t xml:space="preserve"> a compra mínima de carvão mineral nacional de que trata o inciso III do </w:t>
      </w:r>
      <w:r w:rsidRPr="00324ECF">
        <w:rPr>
          <w:i/>
        </w:rPr>
        <w:t>caput</w:t>
      </w:r>
      <w:r w:rsidRPr="00324ECF">
        <w:t xml:space="preserve"> </w:t>
      </w:r>
      <w:r w:rsidR="00D356D9" w:rsidRPr="00324ECF">
        <w:t xml:space="preserve">deste artigo </w:t>
      </w:r>
      <w:r w:rsidRPr="00324ECF">
        <w:t xml:space="preserve">ocorrerá a preços homologados pela Agência Nacional de Energia Elétrica e consistirá na aquisição mínima de 80% </w:t>
      </w:r>
      <w:r w:rsidR="00D356D9" w:rsidRPr="00324ECF">
        <w:t xml:space="preserve">(oitenta por cento) </w:t>
      </w:r>
      <w:r w:rsidRPr="00324ECF">
        <w:t xml:space="preserve">do montante anual de combustível principal utilizado pelo CTJL </w:t>
      </w:r>
      <w:r w:rsidRPr="00324ECF">
        <w:lastRenderedPageBreak/>
        <w:t>proveniente de minas de carvão mineral localizadas no Estado de Santa Catarina;</w:t>
      </w:r>
    </w:p>
    <w:p w14:paraId="144E7A00" w14:textId="77777777" w:rsidR="00BD1927" w:rsidRPr="00324ECF" w:rsidRDefault="00BD1927" w:rsidP="00BD1927">
      <w:pPr>
        <w:pStyle w:val="texto1"/>
      </w:pPr>
      <w:r w:rsidRPr="00324ECF">
        <w:t xml:space="preserve">V – </w:t>
      </w:r>
      <w:proofErr w:type="gramStart"/>
      <w:r w:rsidRPr="00324ECF">
        <w:t>cláusula</w:t>
      </w:r>
      <w:proofErr w:type="gramEnd"/>
      <w:r w:rsidRPr="00324ECF">
        <w:t xml:space="preserve"> de reajuste de preço para incorporar alterações nos preços do carvão mineral nacional, conforme a regulação;</w:t>
      </w:r>
    </w:p>
    <w:p w14:paraId="21AAFC30" w14:textId="3D7B8896" w:rsidR="00BD1927" w:rsidRPr="00324ECF" w:rsidRDefault="00BD1927" w:rsidP="00BD1927">
      <w:pPr>
        <w:pStyle w:val="texto1"/>
      </w:pPr>
      <w:r w:rsidRPr="00324ECF">
        <w:t xml:space="preserve">VI – </w:t>
      </w:r>
      <w:proofErr w:type="gramStart"/>
      <w:r w:rsidRPr="00324ECF">
        <w:t>prazo</w:t>
      </w:r>
      <w:proofErr w:type="gramEnd"/>
      <w:r w:rsidRPr="00324ECF">
        <w:t xml:space="preserve"> de vigência com início em 1º de janeiro de 2026 e </w:t>
      </w:r>
      <w:r w:rsidR="005223A3" w:rsidRPr="00324ECF">
        <w:t>término</w:t>
      </w:r>
      <w:r w:rsidRPr="00324ECF">
        <w:t xml:space="preserve"> em 31 de dezembro de 2040.</w:t>
      </w:r>
    </w:p>
    <w:p w14:paraId="37997B08" w14:textId="71EDF530" w:rsidR="00BD1927" w:rsidRPr="00324ECF" w:rsidRDefault="00BD1927" w:rsidP="00BD1927">
      <w:pPr>
        <w:pStyle w:val="texto1"/>
      </w:pPr>
      <w:r w:rsidRPr="00324ECF">
        <w:t xml:space="preserve">§ 2º Após o início do período de suprimento a ser realizado nos termos do </w:t>
      </w:r>
      <w:r w:rsidR="00E07750" w:rsidRPr="00324ECF">
        <w:t xml:space="preserve">Contrato </w:t>
      </w:r>
      <w:r w:rsidR="00533DAB" w:rsidRPr="00324ECF">
        <w:t xml:space="preserve">de </w:t>
      </w:r>
      <w:r w:rsidR="00E07750" w:rsidRPr="00324ECF">
        <w:t xml:space="preserve">Energia </w:t>
      </w:r>
      <w:r w:rsidR="00533DAB" w:rsidRPr="00324ECF">
        <w:t xml:space="preserve">de </w:t>
      </w:r>
      <w:r w:rsidR="00E07750" w:rsidRPr="00324ECF">
        <w:t xml:space="preserve">Reserva </w:t>
      </w:r>
      <w:r w:rsidRPr="00324ECF">
        <w:t xml:space="preserve">celebrado na forma </w:t>
      </w:r>
      <w:r w:rsidR="00D356D9" w:rsidRPr="00324ECF">
        <w:t>d</w:t>
      </w:r>
      <w:r w:rsidRPr="00324ECF">
        <w:t>este artigo, o CTJL não fará mais jus aos reembolsos da Conta de Desenvolvimento Energético (CDE) para a aquisição de carvão mineral.</w:t>
      </w:r>
    </w:p>
    <w:p w14:paraId="1611A139" w14:textId="2D09B5C2" w:rsidR="00BD1927" w:rsidRPr="00324ECF" w:rsidRDefault="00BD1927" w:rsidP="00BD1927">
      <w:pPr>
        <w:pStyle w:val="texto1"/>
      </w:pPr>
      <w:r w:rsidRPr="00324ECF">
        <w:t xml:space="preserve">Art. 7º O processo de </w:t>
      </w:r>
      <w:proofErr w:type="spellStart"/>
      <w:r w:rsidRPr="00324ECF">
        <w:t>descomissionamento</w:t>
      </w:r>
      <w:proofErr w:type="spellEnd"/>
      <w:r w:rsidRPr="00324ECF">
        <w:t xml:space="preserve"> de instalações de usinas de geração termelétrica a carvão mineral por meio de Programa de Desativação e </w:t>
      </w:r>
      <w:proofErr w:type="spellStart"/>
      <w:r w:rsidRPr="00324ECF">
        <w:t>Descomissionamento</w:t>
      </w:r>
      <w:proofErr w:type="spellEnd"/>
      <w:r w:rsidRPr="00324ECF">
        <w:t xml:space="preserve"> de Instalações (PDI) deverá ser disciplinado </w:t>
      </w:r>
      <w:r w:rsidR="005223A3" w:rsidRPr="00324ECF">
        <w:t>na forma</w:t>
      </w:r>
      <w:r w:rsidRPr="00324ECF">
        <w:t xml:space="preserve"> da regulamentação.</w:t>
      </w:r>
    </w:p>
    <w:p w14:paraId="3D62CDD7" w14:textId="6898806F" w:rsidR="00F529B6" w:rsidRPr="00324ECF" w:rsidRDefault="00F529B6" w:rsidP="00BD1927">
      <w:pPr>
        <w:pStyle w:val="texto1"/>
      </w:pPr>
      <w:r w:rsidRPr="00324ECF">
        <w:t xml:space="preserve">Art. </w:t>
      </w:r>
      <w:r w:rsidR="00293999" w:rsidRPr="00324ECF">
        <w:t>8</w:t>
      </w:r>
      <w:r w:rsidRPr="00324ECF">
        <w:t>º Esta Lei entra em vigor na data de sua publicação.</w:t>
      </w:r>
    </w:p>
    <w:p w14:paraId="127F8B8C" w14:textId="77777777" w:rsidR="000659C9" w:rsidRPr="00324ECF" w:rsidRDefault="000659C9" w:rsidP="00BE7484">
      <w:pPr>
        <w:pStyle w:val="texto1"/>
      </w:pPr>
      <w:r w:rsidRPr="00324ECF">
        <w:t>Sala das Se</w:t>
      </w:r>
      <w:r w:rsidR="00BE7484" w:rsidRPr="00324ECF">
        <w:t>ssões, em</w:t>
      </w:r>
      <w:r w:rsidR="006164D4" w:rsidRPr="00324ECF">
        <w:t xml:space="preserve"> 14 de dezembro de 2021.</w:t>
      </w:r>
    </w:p>
    <w:p w14:paraId="4219368D" w14:textId="77777777" w:rsidR="000659C9" w:rsidRPr="00324ECF" w:rsidRDefault="000659C9" w:rsidP="00014DB4">
      <w:pPr>
        <w:pStyle w:val="assinatura"/>
        <w:suppressAutoHyphens w:val="0"/>
        <w:rPr>
          <w:szCs w:val="24"/>
        </w:rPr>
      </w:pPr>
    </w:p>
    <w:p w14:paraId="5C4E9E01" w14:textId="77777777" w:rsidR="000659C9" w:rsidRPr="00324ECF" w:rsidRDefault="000659C9" w:rsidP="00014DB4">
      <w:pPr>
        <w:pStyle w:val="assinatura"/>
        <w:suppressAutoHyphens w:val="0"/>
        <w:rPr>
          <w:szCs w:val="24"/>
        </w:rPr>
      </w:pPr>
    </w:p>
    <w:p w14:paraId="4F1083F3" w14:textId="77777777" w:rsidR="000659C9" w:rsidRPr="00324ECF" w:rsidRDefault="000659C9" w:rsidP="00014DB4">
      <w:pPr>
        <w:pStyle w:val="assinatura"/>
        <w:suppressAutoHyphens w:val="0"/>
        <w:rPr>
          <w:szCs w:val="24"/>
        </w:rPr>
      </w:pPr>
    </w:p>
    <w:p w14:paraId="47A2D738" w14:textId="77777777" w:rsidR="001C198D" w:rsidRPr="00324ECF" w:rsidRDefault="006164D4" w:rsidP="00014DB4">
      <w:pPr>
        <w:pStyle w:val="assinatura"/>
        <w:suppressAutoHyphens w:val="0"/>
        <w:rPr>
          <w:szCs w:val="24"/>
        </w:rPr>
      </w:pPr>
      <w:r w:rsidRPr="00324ECF">
        <w:rPr>
          <w:szCs w:val="24"/>
        </w:rPr>
        <w:t>Deputada GEOVANIA DE SÁ</w:t>
      </w:r>
      <w:r w:rsidR="00647B0C" w:rsidRPr="00324ECF">
        <w:rPr>
          <w:szCs w:val="24"/>
        </w:rPr>
        <w:t xml:space="preserve"> </w:t>
      </w:r>
    </w:p>
    <w:p w14:paraId="4D27664B" w14:textId="77777777" w:rsidR="001C198D" w:rsidRPr="00324ECF" w:rsidRDefault="001C198D" w:rsidP="00014DB4">
      <w:pPr>
        <w:pStyle w:val="assinatura"/>
        <w:suppressAutoHyphens w:val="0"/>
        <w:rPr>
          <w:szCs w:val="24"/>
        </w:rPr>
      </w:pPr>
      <w:r w:rsidRPr="00324ECF">
        <w:rPr>
          <w:szCs w:val="24"/>
        </w:rPr>
        <w:t>Relator</w:t>
      </w:r>
      <w:r w:rsidR="006164D4" w:rsidRPr="00324ECF">
        <w:rPr>
          <w:szCs w:val="24"/>
        </w:rPr>
        <w:t>a</w:t>
      </w:r>
    </w:p>
    <w:sectPr w:rsidR="001C198D" w:rsidRPr="00324ECF"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827434" w14:textId="77777777" w:rsidR="000B065B" w:rsidRDefault="000B065B">
      <w:r>
        <w:separator/>
      </w:r>
    </w:p>
    <w:p w14:paraId="24B0A54A" w14:textId="77777777" w:rsidR="000B065B" w:rsidRDefault="000B065B"/>
  </w:endnote>
  <w:endnote w:type="continuationSeparator" w:id="0">
    <w:p w14:paraId="533F906A" w14:textId="77777777" w:rsidR="000B065B" w:rsidRDefault="000B065B">
      <w:r>
        <w:continuationSeparator/>
      </w:r>
    </w:p>
    <w:p w14:paraId="48940F58"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367F1"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4676FF3" w14:textId="77777777" w:rsidR="006C0DCB" w:rsidRDefault="006C0DCB">
    <w:pPr>
      <w:pStyle w:val="Rodap"/>
      <w:ind w:right="360"/>
    </w:pPr>
  </w:p>
  <w:p w14:paraId="1F3EB098"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0FC41" w14:textId="77777777" w:rsidR="006C0DCB" w:rsidRDefault="006C0DCB">
    <w:pPr>
      <w:pStyle w:val="Rodap"/>
      <w:framePr w:wrap="around" w:vAnchor="text" w:hAnchor="margin" w:xAlign="right" w:y="1"/>
      <w:rPr>
        <w:rStyle w:val="Nmerodepgina"/>
      </w:rPr>
    </w:pPr>
  </w:p>
  <w:p w14:paraId="2F8A2421"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705431" w14:textId="77777777" w:rsidR="000B065B" w:rsidRDefault="000B065B">
      <w:r>
        <w:separator/>
      </w:r>
    </w:p>
    <w:p w14:paraId="545AA621" w14:textId="77777777" w:rsidR="000B065B" w:rsidRDefault="000B065B"/>
  </w:footnote>
  <w:footnote w:type="continuationSeparator" w:id="0">
    <w:p w14:paraId="17939F46" w14:textId="77777777" w:rsidR="000B065B" w:rsidRDefault="000B065B">
      <w:r>
        <w:continuationSeparator/>
      </w:r>
    </w:p>
    <w:p w14:paraId="15520DD5"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77F61"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7FE8986" w14:textId="77777777" w:rsidR="006C0DCB" w:rsidRDefault="006C0DCB">
    <w:pPr>
      <w:pStyle w:val="Cabealho"/>
      <w:ind w:right="360"/>
    </w:pPr>
  </w:p>
  <w:p w14:paraId="0AEEB8FE"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E352"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562EA">
      <w:rPr>
        <w:rStyle w:val="Nmerodepgina"/>
        <w:noProof/>
      </w:rPr>
      <w:t>8</w:t>
    </w:r>
    <w:r>
      <w:rPr>
        <w:rStyle w:val="Nmerodepgina"/>
      </w:rPr>
      <w:fldChar w:fldCharType="end"/>
    </w:r>
  </w:p>
  <w:p w14:paraId="2C788401"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AB8518D" wp14:editId="3C1D7FF7">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54B499"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AB8518D"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D54B499"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266CE239"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7CBFF8"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52C2F63B" wp14:editId="1C6D048F">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4E6AF9"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2C2F63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1F4E6AF9"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55705"/>
    <w:rsid w:val="000562EA"/>
    <w:rsid w:val="000659C9"/>
    <w:rsid w:val="000847AC"/>
    <w:rsid w:val="000B065B"/>
    <w:rsid w:val="000C1F66"/>
    <w:rsid w:val="001120A1"/>
    <w:rsid w:val="00156231"/>
    <w:rsid w:val="001A693F"/>
    <w:rsid w:val="001C198D"/>
    <w:rsid w:val="001F6DDF"/>
    <w:rsid w:val="00207463"/>
    <w:rsid w:val="0025430D"/>
    <w:rsid w:val="00293999"/>
    <w:rsid w:val="002E4E4E"/>
    <w:rsid w:val="00324ECF"/>
    <w:rsid w:val="003254F3"/>
    <w:rsid w:val="00355E9C"/>
    <w:rsid w:val="00404CA2"/>
    <w:rsid w:val="00412B8D"/>
    <w:rsid w:val="00454A8B"/>
    <w:rsid w:val="004F43ED"/>
    <w:rsid w:val="005223A3"/>
    <w:rsid w:val="00525AB7"/>
    <w:rsid w:val="00533DAB"/>
    <w:rsid w:val="00536AB6"/>
    <w:rsid w:val="005C6BF6"/>
    <w:rsid w:val="005D7504"/>
    <w:rsid w:val="00602E48"/>
    <w:rsid w:val="006164D4"/>
    <w:rsid w:val="00647B0C"/>
    <w:rsid w:val="006761D9"/>
    <w:rsid w:val="006C0DCB"/>
    <w:rsid w:val="006C4829"/>
    <w:rsid w:val="00711933"/>
    <w:rsid w:val="0072494C"/>
    <w:rsid w:val="007657F4"/>
    <w:rsid w:val="0077455A"/>
    <w:rsid w:val="00783916"/>
    <w:rsid w:val="007B34E1"/>
    <w:rsid w:val="007B5903"/>
    <w:rsid w:val="00863863"/>
    <w:rsid w:val="00864EC7"/>
    <w:rsid w:val="00971041"/>
    <w:rsid w:val="0097659B"/>
    <w:rsid w:val="00A019FE"/>
    <w:rsid w:val="00A275DF"/>
    <w:rsid w:val="00AA74D0"/>
    <w:rsid w:val="00B27CEB"/>
    <w:rsid w:val="00B300A5"/>
    <w:rsid w:val="00B92F03"/>
    <w:rsid w:val="00BA3467"/>
    <w:rsid w:val="00BC6A3F"/>
    <w:rsid w:val="00BD1927"/>
    <w:rsid w:val="00BE7484"/>
    <w:rsid w:val="00C40574"/>
    <w:rsid w:val="00CA069C"/>
    <w:rsid w:val="00CC71AF"/>
    <w:rsid w:val="00CD107E"/>
    <w:rsid w:val="00D356D9"/>
    <w:rsid w:val="00D66E55"/>
    <w:rsid w:val="00D67B20"/>
    <w:rsid w:val="00DB5A9D"/>
    <w:rsid w:val="00DE3C36"/>
    <w:rsid w:val="00DF256E"/>
    <w:rsid w:val="00DF5BF2"/>
    <w:rsid w:val="00E07750"/>
    <w:rsid w:val="00E10C16"/>
    <w:rsid w:val="00E2325F"/>
    <w:rsid w:val="00E31C64"/>
    <w:rsid w:val="00E42D0A"/>
    <w:rsid w:val="00E87019"/>
    <w:rsid w:val="00E9542E"/>
    <w:rsid w:val="00E975CB"/>
    <w:rsid w:val="00F23FBC"/>
    <w:rsid w:val="00F25CB9"/>
    <w:rsid w:val="00F529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4757E913"/>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864EC7"/>
    <w:rPr>
      <w:sz w:val="16"/>
      <w:szCs w:val="16"/>
    </w:rPr>
  </w:style>
  <w:style w:type="paragraph" w:styleId="Textodecomentrio">
    <w:name w:val="annotation text"/>
    <w:basedOn w:val="Normal"/>
    <w:link w:val="TextodecomentrioChar"/>
    <w:uiPriority w:val="99"/>
    <w:semiHidden/>
    <w:unhideWhenUsed/>
    <w:rsid w:val="00864EC7"/>
  </w:style>
  <w:style w:type="character" w:customStyle="1" w:styleId="TextodecomentrioChar">
    <w:name w:val="Texto de comentário Char"/>
    <w:basedOn w:val="Fontepargpadro"/>
    <w:link w:val="Textodecomentrio"/>
    <w:uiPriority w:val="99"/>
    <w:semiHidden/>
    <w:rsid w:val="00864EC7"/>
    <w:rPr>
      <w:b/>
    </w:rPr>
  </w:style>
  <w:style w:type="paragraph" w:styleId="Assuntodocomentrio">
    <w:name w:val="annotation subject"/>
    <w:basedOn w:val="Textodecomentrio"/>
    <w:next w:val="Textodecomentrio"/>
    <w:link w:val="AssuntodocomentrioChar"/>
    <w:uiPriority w:val="99"/>
    <w:semiHidden/>
    <w:unhideWhenUsed/>
    <w:rsid w:val="00864EC7"/>
    <w:rPr>
      <w:bCs/>
    </w:rPr>
  </w:style>
  <w:style w:type="character" w:customStyle="1" w:styleId="AssuntodocomentrioChar">
    <w:name w:val="Assunto do comentário Char"/>
    <w:basedOn w:val="TextodecomentrioChar"/>
    <w:link w:val="Assuntodocomentrio"/>
    <w:uiPriority w:val="99"/>
    <w:semiHidden/>
    <w:rsid w:val="00864E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1684</Words>
  <Characters>9255</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10918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2021-12-14T18:36:00Z</dcterms:created>
  <dcterms:modified xsi:type="dcterms:W3CDTF">2021-12-14T22:01:00Z</dcterms:modified>
</cp:coreProperties>
</file>