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333FD2" w14:textId="77777777" w:rsidR="00DF2AEC" w:rsidRPr="00F66016" w:rsidRDefault="00DF2AEC" w:rsidP="00DF2AEC">
      <w:pPr>
        <w:jc w:val="center"/>
        <w:rPr>
          <w:rFonts w:ascii="Courier New" w:hAnsi="Courier New" w:cs="Courier New"/>
          <w:b w:val="0"/>
          <w:caps/>
          <w:snapToGrid w:val="0"/>
          <w:sz w:val="24"/>
          <w:szCs w:val="24"/>
        </w:rPr>
      </w:pPr>
      <w:r w:rsidRPr="00F66016">
        <w:rPr>
          <w:rFonts w:ascii="Courier New" w:hAnsi="Courier New" w:cs="Courier New"/>
          <w:b w:val="0"/>
          <w:caps/>
          <w:snapToGrid w:val="0"/>
          <w:sz w:val="24"/>
          <w:szCs w:val="24"/>
        </w:rPr>
        <w:t>redação final</w:t>
      </w:r>
    </w:p>
    <w:p w14:paraId="1B2455A6" w14:textId="1C87393C" w:rsidR="00DF2AEC" w:rsidRPr="00F66016" w:rsidRDefault="00DF2AEC" w:rsidP="00DF2AEC">
      <w:pPr>
        <w:jc w:val="center"/>
        <w:rPr>
          <w:rFonts w:ascii="Courier New" w:hAnsi="Courier New" w:cs="Courier New"/>
          <w:b w:val="0"/>
          <w:caps/>
          <w:snapToGrid w:val="0"/>
          <w:sz w:val="24"/>
          <w:szCs w:val="24"/>
        </w:rPr>
      </w:pPr>
      <w:r w:rsidRPr="00F66016">
        <w:rPr>
          <w:rFonts w:ascii="Courier New" w:hAnsi="Courier New" w:cs="Courier New"/>
          <w:b w:val="0"/>
          <w:caps/>
          <w:snapToGrid w:val="0"/>
          <w:sz w:val="24"/>
          <w:szCs w:val="24"/>
        </w:rPr>
        <w:t>medida provisória nº 1.057-</w:t>
      </w:r>
      <w:r w:rsidR="00AE2581">
        <w:rPr>
          <w:rFonts w:ascii="Courier New" w:hAnsi="Courier New" w:cs="Courier New"/>
          <w:b w:val="0"/>
          <w:caps/>
          <w:snapToGrid w:val="0"/>
          <w:sz w:val="24"/>
          <w:szCs w:val="24"/>
        </w:rPr>
        <w:t>c</w:t>
      </w:r>
      <w:bookmarkStart w:id="0" w:name="_GoBack"/>
      <w:bookmarkEnd w:id="0"/>
      <w:r w:rsidRPr="00F66016">
        <w:rPr>
          <w:rFonts w:ascii="Courier New" w:hAnsi="Courier New" w:cs="Courier New"/>
          <w:b w:val="0"/>
          <w:caps/>
          <w:snapToGrid w:val="0"/>
          <w:sz w:val="24"/>
          <w:szCs w:val="24"/>
        </w:rPr>
        <w:t>, de 2021</w:t>
      </w:r>
    </w:p>
    <w:p w14:paraId="5BF68C9B" w14:textId="3CD1FCE0" w:rsidR="00DF2AEC" w:rsidRPr="00F66016" w:rsidRDefault="00DF2AEC" w:rsidP="00DF2AEC">
      <w:pPr>
        <w:jc w:val="center"/>
        <w:rPr>
          <w:rFonts w:ascii="Courier New" w:hAnsi="Courier New" w:cs="Courier New"/>
          <w:b w:val="0"/>
          <w:caps/>
          <w:snapToGrid w:val="0"/>
          <w:sz w:val="24"/>
          <w:szCs w:val="24"/>
        </w:rPr>
      </w:pPr>
      <w:r w:rsidRPr="00F66016">
        <w:rPr>
          <w:rFonts w:ascii="Courier New" w:hAnsi="Courier New" w:cs="Courier New"/>
          <w:b w:val="0"/>
          <w:caps/>
          <w:snapToGrid w:val="0"/>
          <w:sz w:val="24"/>
          <w:szCs w:val="24"/>
        </w:rPr>
        <w:t xml:space="preserve">projeto de lei de conversÃo nº </w:t>
      </w:r>
      <w:r w:rsidR="002D5E02">
        <w:rPr>
          <w:rFonts w:ascii="Courier New" w:hAnsi="Courier New" w:cs="Courier New"/>
          <w:b w:val="0"/>
          <w:caps/>
          <w:snapToGrid w:val="0"/>
          <w:sz w:val="24"/>
          <w:szCs w:val="24"/>
        </w:rPr>
        <w:t>23</w:t>
      </w:r>
      <w:r w:rsidR="002D5E02" w:rsidRPr="00F66016">
        <w:rPr>
          <w:rFonts w:ascii="Courier New" w:hAnsi="Courier New" w:cs="Courier New"/>
          <w:b w:val="0"/>
          <w:caps/>
          <w:snapToGrid w:val="0"/>
          <w:sz w:val="24"/>
          <w:szCs w:val="24"/>
        </w:rPr>
        <w:t xml:space="preserve"> </w:t>
      </w:r>
      <w:r w:rsidRPr="00F66016">
        <w:rPr>
          <w:rFonts w:ascii="Courier New" w:hAnsi="Courier New" w:cs="Courier New"/>
          <w:b w:val="0"/>
          <w:caps/>
          <w:snapToGrid w:val="0"/>
          <w:sz w:val="24"/>
          <w:szCs w:val="24"/>
        </w:rPr>
        <w:t>de 2021</w:t>
      </w:r>
    </w:p>
    <w:p w14:paraId="1C7D0534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14:paraId="033D6F24" w14:textId="77777777" w:rsidR="00DF2AEC" w:rsidRPr="00F66016" w:rsidRDefault="00DF2AEC" w:rsidP="00DF2AEC">
      <w:pPr>
        <w:spacing w:line="192" w:lineRule="auto"/>
        <w:ind w:left="3545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Institui o Programa de Estímulo ao Crédito (PEC); dispõe sobre o crédito presumido apurado com base em créditos decorrentes de diferenças temporárias; e altera as Leis </w:t>
      </w:r>
      <w:proofErr w:type="spellStart"/>
      <w:r w:rsidRPr="00F66016">
        <w:rPr>
          <w:rFonts w:ascii="Courier New" w:hAnsi="Courier New" w:cs="Courier New"/>
          <w:b w:val="0"/>
          <w:snapToGrid w:val="0"/>
          <w:sz w:val="24"/>
        </w:rPr>
        <w:t>nºs</w:t>
      </w:r>
      <w:proofErr w:type="spell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13.999, de 18 de maio de 2020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>, 14.161, de 2 de junho de 2021, e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10.150, de 21 de dezembro de 2000.</w:t>
      </w:r>
    </w:p>
    <w:p w14:paraId="66DD63FC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14:paraId="5651A552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O CONGRESSO NACIONAL decreta:</w:t>
      </w:r>
    </w:p>
    <w:p w14:paraId="1540256A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14:paraId="58E81931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1º Fica instituído o Programa de Estímulo ao Crédito (PEC), destinado à realização de operações de crédito pelas instituições financeiras e pelas demais instituições autorizadas a funcionar pelo Banco Central do Brasil, exceto as cooperativas de crédito e as administradoras de consórcio, com as seguintes pessoas físicas ou jurídicas, com receita bruta anual de até R$ 4.800.000,00 (quatro milhões e oitocentos mil reais):</w:t>
      </w:r>
    </w:p>
    <w:p w14:paraId="5B1B43CB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microempreendedores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individuais de que trata o § 1º do art. 18-A da Lei Complementar nº 123, de 14 de dezembro de 2006;</w:t>
      </w:r>
    </w:p>
    <w:p w14:paraId="4004982A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microempresas e empresas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 pequeno porte de que trata o art. 3º da Lei Complementar nº 123, de 14 de dezembro de 2006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>;</w:t>
      </w:r>
    </w:p>
    <w:p w14:paraId="0B4E5FCC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III - produtores rurais;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 xml:space="preserve"> e</w:t>
      </w:r>
    </w:p>
    <w:p w14:paraId="58BDD519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IV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cooperativas e associações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 pesca e de marisqueiros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>.</w:t>
      </w:r>
    </w:p>
    <w:p w14:paraId="05A4FE92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§ 1º As operações de crédito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deverão ser contratadas no período compreendido </w:t>
      </w: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>entre a data de entrada em vigor desta Lei e 31 de dezembro de 2021.</w:t>
      </w:r>
    </w:p>
    <w:p w14:paraId="25C6DC64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§ 2º A receita bruta anual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poderá ser aquela informada à Secretaria Especial da Receita Federal do Brasil do Ministério da Economia no ano-calendário de 2020 ou aferida conforme critérios e políticas próprios das instituições financeiras, considerado o faturamento equivalente ao período de 12 (doze) meses.</w:t>
      </w:r>
    </w:p>
    <w:p w14:paraId="5901A864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§ 3º Caso a pessoa jurídica tenha sido constituída em 2020 ou 2021, o limite do valor da receita bruta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será proporcional aos meses em que esteve em atividade, respectivamente, em 2020 ou 2021, ou aferido conforme critérios e políticas próprios das instituições financeiras, considerado o faturamento equivalente ao período de 12 (doze) meses.</w:t>
      </w:r>
    </w:p>
    <w:p w14:paraId="2FA5E9C8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4º Fica o Conselho Monetário Nacional autorizado a definir:</w:t>
      </w:r>
    </w:p>
    <w:p w14:paraId="0B067540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as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condições, os prazos, as regras para concessão e as características das operações de crédito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artigo; e</w:t>
      </w:r>
    </w:p>
    <w:p w14:paraId="11CCD8B1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a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distribuição dos créditos concedidos por segmentos ou áreas de atuação e faixas de porte das empresas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artigo.</w:t>
      </w:r>
    </w:p>
    <w:p w14:paraId="7AA1B9DE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5º No âmbito do PEC, não são elegíveis as operações de crédito concedidas a pessoa jurídica que seja controladora, controlada, coligada ou interligada da instituição credora.</w:t>
      </w:r>
    </w:p>
    <w:p w14:paraId="29646300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6º As operações de crédito realizadas no âmbito do PEC:</w:t>
      </w:r>
    </w:p>
    <w:p w14:paraId="0B36B977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não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contarão com qualquer garantia da União ou de entidade pública, e o risco de crédito será integralmente das instituições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do art. 2º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 xml:space="preserve"> desta Lei</w:t>
      </w:r>
      <w:r w:rsidRPr="00F66016">
        <w:rPr>
          <w:rFonts w:ascii="Courier New" w:hAnsi="Courier New" w:cs="Courier New"/>
          <w:b w:val="0"/>
          <w:snapToGrid w:val="0"/>
          <w:sz w:val="24"/>
        </w:rPr>
        <w:t>;</w:t>
      </w:r>
    </w:p>
    <w:p w14:paraId="4D75C220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serão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carregadas em sua totalidade com recursos captados pelas próprias instituições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do art. 2º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 xml:space="preserve"> desta Lei</w:t>
      </w:r>
      <w:r w:rsidRPr="00F66016">
        <w:rPr>
          <w:rFonts w:ascii="Courier New" w:hAnsi="Courier New" w:cs="Courier New"/>
          <w:b w:val="0"/>
          <w:snapToGrid w:val="0"/>
          <w:sz w:val="24"/>
        </w:rPr>
        <w:t>;</w:t>
      </w:r>
    </w:p>
    <w:p w14:paraId="39A532CC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III - não terão qualquer tipo de previsão de aporte de recursos públicos; e</w:t>
      </w:r>
    </w:p>
    <w:p w14:paraId="119A888A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IV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não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terão qualquer equalização de taxa de juros por parte da União.</w:t>
      </w:r>
    </w:p>
    <w:p w14:paraId="7074D419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2º Até 31 de dezembro de 2026, as instituições financeiras e as demais instituições autorizadas a funcionar pelo Banco Central do Brasil, exceto as cooperativas de crédito e as administradoras de consórcio, que aderirem ao PEC na qualidade de concedentes das operações de crédito poderão apurar crédito presumido na forma prevista nos </w:t>
      </w:r>
      <w:proofErr w:type="spellStart"/>
      <w:r w:rsidRPr="00F66016">
        <w:rPr>
          <w:rFonts w:ascii="Courier New" w:hAnsi="Courier New" w:cs="Courier New"/>
          <w:b w:val="0"/>
          <w:snapToGrid w:val="0"/>
          <w:sz w:val="24"/>
        </w:rPr>
        <w:t>arts</w:t>
      </w:r>
      <w:proofErr w:type="spell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3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º e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4</w:t>
      </w:r>
      <w:r w:rsidRPr="00F66016">
        <w:rPr>
          <w:rFonts w:ascii="Courier New" w:hAnsi="Courier New" w:cs="Courier New"/>
          <w:b w:val="0"/>
          <w:snapToGrid w:val="0"/>
          <w:sz w:val="24"/>
        </w:rPr>
        <w:t>º desta Lei, em montante total limitado ao menor valor entre:</w:t>
      </w:r>
    </w:p>
    <w:p w14:paraId="4CF9A53D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saldo contábil bruto das operações de crédito concedidas no âmbito do Programa de Capital de Giro para Preservação de Empresas,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de que tratava a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Medida Provisória nº 992, de 16 de julho de 2020, e do PEC; e</w:t>
      </w:r>
    </w:p>
    <w:p w14:paraId="2044ED34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saldo contábil dos créditos decorrentes de diferenças temporárias.</w:t>
      </w:r>
    </w:p>
    <w:p w14:paraId="0F4CA7C7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1º O disposto neste artigo não se aplica aos créditos decorrentes de diferenças temporárias referentes a provisões para créditos de liquidação duvidosa e de provisões passivas relacionadas a ações fiscais e previdenciárias.</w:t>
      </w:r>
    </w:p>
    <w:p w14:paraId="0ACD4680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 xml:space="preserve">§ 2º As instituições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não poderão apurar crédito presumido na forma prevista na Medida Provisória nº 992, de 16 de julho de 2020.</w:t>
      </w:r>
    </w:p>
    <w:p w14:paraId="001661BD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3º Para fins do disposto neste artigo:</w:t>
      </w:r>
    </w:p>
    <w:p w14:paraId="75B03CD7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="001C32BE" w:rsidRPr="00F66016">
        <w:rPr>
          <w:rFonts w:ascii="Courier New" w:hAnsi="Courier New" w:cs="Courier New"/>
          <w:b w:val="0"/>
          <w:snapToGrid w:val="0"/>
          <w:sz w:val="24"/>
        </w:rPr>
        <w:t>caracterizam-se</w:t>
      </w:r>
      <w:proofErr w:type="gramEnd"/>
      <w:r w:rsidR="001C32BE" w:rsidRPr="00F66016">
        <w:rPr>
          <w:rFonts w:ascii="Courier New" w:hAnsi="Courier New" w:cs="Courier New"/>
          <w:b w:val="0"/>
          <w:snapToGrid w:val="0"/>
          <w:sz w:val="24"/>
        </w:rPr>
        <w:t xml:space="preserve"> como diferenças temporárias </w:t>
      </w:r>
      <w:r w:rsidRPr="00F66016">
        <w:rPr>
          <w:rFonts w:ascii="Courier New" w:hAnsi="Courier New" w:cs="Courier New"/>
          <w:b w:val="0"/>
          <w:snapToGrid w:val="0"/>
          <w:sz w:val="24"/>
        </w:rPr>
        <w:t>as despesas ou as perdas apropriadas contabilmente ainda não dedutíveis na apuração do Imposto sobre a Renda das Pessoas Jurídicas (IRPJ) e da Contribuição Social sobre o Lucro Líquido (CSLL) cujo aproveitamento futuro seja autorizado pela legislação tributária; e</w:t>
      </w:r>
    </w:p>
    <w:p w14:paraId="051AF241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créditos decorrentes das diferenças temporárias </w:t>
      </w:r>
      <w:r w:rsidR="00604E49" w:rsidRPr="00F66016">
        <w:rPr>
          <w:rFonts w:ascii="Courier New" w:hAnsi="Courier New" w:cs="Courier New"/>
          <w:b w:val="0"/>
          <w:snapToGrid w:val="0"/>
          <w:sz w:val="24"/>
        </w:rPr>
        <w:t xml:space="preserve">serão apurados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por meio da aplicação das alíquotas do IRPJ e da CSLL sobre as diferenças entre as despesas ou as perdas decorrentes das atividades das instituições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artigo, reconhecidas de acordo com a legislação contábil societária, e as despesas ou as perdas autorizadas como dedução para determinação da base de cálculo desses tributos, conforme a legislação vigente.</w:t>
      </w:r>
    </w:p>
    <w:p w14:paraId="75CC6953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3º A apuração do crédito presumido de que trata o art. 2º</w:t>
      </w:r>
      <w:r w:rsidR="005C4626" w:rsidRPr="00F66016">
        <w:rPr>
          <w:rFonts w:ascii="Courier New" w:hAnsi="Courier New" w:cs="Courier New"/>
          <w:b w:val="0"/>
          <w:snapToGrid w:val="0"/>
          <w:sz w:val="24"/>
        </w:rPr>
        <w:t xml:space="preserve"> desta Lei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 xml:space="preserve">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poderá ser realizada a cada ano-calendário, a partir do ano-calendário de 2022, pelas instituições de que trata o </w:t>
      </w:r>
      <w:r w:rsidR="00C76B2B" w:rsidRPr="00F66016">
        <w:rPr>
          <w:rFonts w:ascii="Courier New" w:hAnsi="Courier New" w:cs="Courier New"/>
          <w:b w:val="0"/>
          <w:snapToGrid w:val="0"/>
          <w:sz w:val="24"/>
        </w:rPr>
        <w:t xml:space="preserve">referido artigo </w:t>
      </w:r>
      <w:r w:rsidRPr="00F66016">
        <w:rPr>
          <w:rFonts w:ascii="Courier New" w:hAnsi="Courier New" w:cs="Courier New"/>
          <w:b w:val="0"/>
          <w:snapToGrid w:val="0"/>
          <w:sz w:val="24"/>
        </w:rPr>
        <w:t>que apresentarem, de forma cumulativa:</w:t>
      </w:r>
    </w:p>
    <w:p w14:paraId="3DF17A75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créditos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decorrentes de diferenças temporárias, em conformidade com o disposto no art. 2</w:t>
      </w:r>
      <w:r w:rsidR="00C76B2B" w:rsidRPr="00F66016">
        <w:rPr>
          <w:rFonts w:ascii="Courier New" w:hAnsi="Courier New" w:cs="Courier New"/>
          <w:b w:val="0"/>
          <w:snapToGrid w:val="0"/>
          <w:sz w:val="24"/>
        </w:rPr>
        <w:t>º desta Lei</w:t>
      </w:r>
      <w:r w:rsidRPr="00F66016">
        <w:rPr>
          <w:rFonts w:ascii="Courier New" w:hAnsi="Courier New" w:cs="Courier New"/>
          <w:b w:val="0"/>
          <w:snapToGrid w:val="0"/>
          <w:sz w:val="24"/>
        </w:rPr>
        <w:t>, oriundos de registros existentes no ano-calendário anterior; e</w:t>
      </w:r>
    </w:p>
    <w:p w14:paraId="73F3A428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prejuízo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fiscal apurado no ano-calendário anterior.</w:t>
      </w:r>
    </w:p>
    <w:p w14:paraId="64ED8193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 xml:space="preserve">§ 1º O valor do crédito presumido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será apurado com base na fórmula constante do Anexo I desta Lei.</w:t>
      </w:r>
    </w:p>
    <w:p w14:paraId="0690C5BD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§ 2º O crédito presumido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fica limitado ao menor dos seguintes valores:</w:t>
      </w:r>
    </w:p>
    <w:p w14:paraId="7AFE9542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saldo dos créditos decorrentes de diferenças temporárias existentes no ano-calendário anterior; ou</w:t>
      </w:r>
    </w:p>
    <w:p w14:paraId="13B10E9F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valor do prejuízo fiscal apurado no ano-calendário anterior.</w:t>
      </w:r>
    </w:p>
    <w:p w14:paraId="0A8AB72B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3º O crédito decorrente de diferença temporária que originou o crédito presumido apurado na forma prevista na Medida Provisória nº 992, de 16 de julho de 2020, e no § 1º deste artigo não poderá ser aproveitado em outros períodos de apuração.</w:t>
      </w:r>
    </w:p>
    <w:p w14:paraId="06A19217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4º Na hipótese de falência ou de liquidação extrajudicial das instituições de que trata o art. 2º, o valor do crédito presumido corresponderá ao saldo total dos créditos decorrentes de diferenças temporárias existente na data da decretação da falência ou da liquidação extrajudicial, observado o disposto no art. </w:t>
      </w:r>
      <w:r w:rsidR="00C76B2B" w:rsidRPr="00F66016">
        <w:rPr>
          <w:rFonts w:ascii="Courier New" w:hAnsi="Courier New" w:cs="Courier New"/>
          <w:b w:val="0"/>
          <w:snapToGrid w:val="0"/>
          <w:sz w:val="24"/>
        </w:rPr>
        <w:t>2º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Lei.</w:t>
      </w:r>
    </w:p>
    <w:p w14:paraId="7F6E28EF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Parágrafo único. O disposto no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aplica-se somente às pessoas jurídicas cuja liquidação extrajudicial ou falência tenha sido decretada após a data da entrada em vigor desta Lei.</w:t>
      </w:r>
    </w:p>
    <w:p w14:paraId="40255BF3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5º O crédito presumido de que tratam os </w:t>
      </w:r>
      <w:proofErr w:type="spellStart"/>
      <w:r w:rsidRPr="00F66016">
        <w:rPr>
          <w:rFonts w:ascii="Courier New" w:hAnsi="Courier New" w:cs="Courier New"/>
          <w:b w:val="0"/>
          <w:snapToGrid w:val="0"/>
          <w:sz w:val="24"/>
        </w:rPr>
        <w:t>arts</w:t>
      </w:r>
      <w:proofErr w:type="spell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3º e 4º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 poderá ser objeto de pedido de ressarcimento.</w:t>
      </w:r>
    </w:p>
    <w:p w14:paraId="74454E51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§ 1º O ressarcimento em espécie ou em títulos da dívida pública mobiliária federal, a critério do Ministro de Estado da Economia, será precedido da dedução de ofício de </w:t>
      </w: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>valores de natureza tributária ou não tributária devidos à Fazenda Nacional pelas instituições de que trata o art. 2º desta Lei.</w:t>
      </w:r>
    </w:p>
    <w:p w14:paraId="21DA7FD9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2º O disposto no art. 74 da Lei nº 9.430, de 27 de dezembro de 1996, não se aplica ao crédito presumido de que trata esta Lei.</w:t>
      </w:r>
    </w:p>
    <w:p w14:paraId="56677C93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6º A partir da dedução de ofício dos débitos </w:t>
      </w:r>
      <w:r w:rsidR="00BB5EF2" w:rsidRPr="00F66016">
        <w:rPr>
          <w:rFonts w:ascii="Courier New" w:hAnsi="Courier New" w:cs="Courier New"/>
          <w:b w:val="0"/>
          <w:snapToGrid w:val="0"/>
          <w:sz w:val="24"/>
        </w:rPr>
        <w:t xml:space="preserve">para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com a Fazenda Nacional ou do ressarcimento a que se refere o art. </w:t>
      </w:r>
      <w:r w:rsidR="00BB5EF2" w:rsidRPr="00F66016">
        <w:rPr>
          <w:rFonts w:ascii="Courier New" w:hAnsi="Courier New" w:cs="Courier New"/>
          <w:b w:val="0"/>
          <w:snapToGrid w:val="0"/>
          <w:sz w:val="24"/>
        </w:rPr>
        <w:t>5º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, as instituições de que trata o art. </w:t>
      </w:r>
      <w:r w:rsidR="00BB5EF2" w:rsidRPr="00F66016">
        <w:rPr>
          <w:rFonts w:ascii="Courier New" w:hAnsi="Courier New" w:cs="Courier New"/>
          <w:b w:val="0"/>
          <w:snapToGrid w:val="0"/>
          <w:sz w:val="24"/>
        </w:rPr>
        <w:t>2º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 adicionarão ao lucro líquido, para fins de apuração do lucro real e da base de cálculo da CSLL, o valor apurado com base na fórmula constante do Anexo II desta Lei.</w:t>
      </w:r>
    </w:p>
    <w:p w14:paraId="5B22FDF3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Parágrafo único. A instituição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enquadrada n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o art. </w:t>
      </w:r>
      <w:r w:rsidR="00AD031B" w:rsidRPr="00F66016">
        <w:rPr>
          <w:rFonts w:ascii="Courier New" w:hAnsi="Courier New" w:cs="Courier New"/>
          <w:b w:val="0"/>
          <w:snapToGrid w:val="0"/>
          <w:sz w:val="24"/>
        </w:rPr>
        <w:t>2º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 que não adicionar ao lucro líquido o valor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ficará sujeita ao lançamento de ofício das diferenças apuradas do IRPJ e da CSLL.</w:t>
      </w:r>
    </w:p>
    <w:p w14:paraId="6875385A" w14:textId="77777777" w:rsidR="00DF2AEC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7º Será aplicada multa de 20% (vinte por cento) sobre o valor deduzido de ofício dos débitos </w:t>
      </w:r>
      <w:r w:rsidR="00AD031B" w:rsidRPr="00F66016">
        <w:rPr>
          <w:rFonts w:ascii="Courier New" w:hAnsi="Courier New" w:cs="Courier New"/>
          <w:b w:val="0"/>
          <w:snapToGrid w:val="0"/>
          <w:sz w:val="24"/>
        </w:rPr>
        <w:t xml:space="preserve">para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com a Fazenda Nacional ou ressarcido em espécie ou em títulos da dívida pública mobiliária federal às instituições de que trata o art. </w:t>
      </w:r>
      <w:r w:rsidR="00AD031B" w:rsidRPr="00F66016">
        <w:rPr>
          <w:rFonts w:ascii="Courier New" w:hAnsi="Courier New" w:cs="Courier New"/>
          <w:b w:val="0"/>
          <w:snapToGrid w:val="0"/>
          <w:sz w:val="24"/>
        </w:rPr>
        <w:t>2º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que solicitarem o ressarcimento de crédito presumido de que trata o art. </w:t>
      </w:r>
      <w:r w:rsidR="00AD031B" w:rsidRPr="00F66016">
        <w:rPr>
          <w:rFonts w:ascii="Courier New" w:hAnsi="Courier New" w:cs="Courier New"/>
          <w:b w:val="0"/>
          <w:snapToGrid w:val="0"/>
          <w:sz w:val="24"/>
        </w:rPr>
        <w:t>5º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 nas hipóteses em que a dedução ou o ressarcimento for obtido com falsidade no pedido por elas apresentado, sem prejuízo da devolução do valor deduzido ou ressarcido indevidamente</w:t>
      </w:r>
      <w:r w:rsidR="00840F0B">
        <w:rPr>
          <w:rFonts w:ascii="Courier New" w:hAnsi="Courier New" w:cs="Courier New"/>
          <w:b w:val="0"/>
          <w:snapToGrid w:val="0"/>
          <w:sz w:val="24"/>
        </w:rPr>
        <w:t xml:space="preserve"> </w:t>
      </w:r>
      <w:r w:rsidR="00840F0B" w:rsidRPr="00796DF0">
        <w:rPr>
          <w:rFonts w:ascii="Courier New" w:hAnsi="Courier New" w:cs="Courier New"/>
          <w:b w:val="0"/>
          <w:snapToGrid w:val="0"/>
          <w:sz w:val="24"/>
        </w:rPr>
        <w:t>e das sanções cíveis e penais cabíveis pela falsidade apresentada</w:t>
      </w:r>
      <w:r w:rsidRPr="00796DF0">
        <w:rPr>
          <w:rFonts w:ascii="Courier New" w:hAnsi="Courier New" w:cs="Courier New"/>
          <w:b w:val="0"/>
          <w:snapToGrid w:val="0"/>
          <w:sz w:val="24"/>
        </w:rPr>
        <w:t>.</w:t>
      </w:r>
    </w:p>
    <w:p w14:paraId="73FFD62B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Parágrafo único. Os créditos de multa e de valor deduzido ou ressarcido indevidamente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serão inscritos em dívida ativa pela Procuradoria-Geral </w:t>
      </w: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>da Fazenda Nacional após a constituição definitiva de crédito, observados os princípios do contraditório e da ampla defesa.</w:t>
      </w:r>
    </w:p>
    <w:p w14:paraId="38C82B07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8º A dedução de ofício poderá ser objeto de revisão pela autoridade administrativa, a pedido, quando o sujeito passivo alegar inexistência do débito deduzido.</w:t>
      </w:r>
    </w:p>
    <w:p w14:paraId="72278BAC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9º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 xml:space="preserve">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Para fins de apuração dos créditos presumidos, os saldos contábeis a que se referem os </w:t>
      </w:r>
      <w:proofErr w:type="spellStart"/>
      <w:r w:rsidRPr="00F66016">
        <w:rPr>
          <w:rFonts w:ascii="Courier New" w:hAnsi="Courier New" w:cs="Courier New"/>
          <w:b w:val="0"/>
          <w:snapToGrid w:val="0"/>
          <w:sz w:val="24"/>
        </w:rPr>
        <w:t>arts</w:t>
      </w:r>
      <w:proofErr w:type="spell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 xml:space="preserve">2º, 3º e 4º </w:t>
      </w:r>
      <w:r w:rsidRPr="00F66016">
        <w:rPr>
          <w:rFonts w:ascii="Courier New" w:hAnsi="Courier New" w:cs="Courier New"/>
          <w:b w:val="0"/>
          <w:snapToGrid w:val="0"/>
          <w:sz w:val="24"/>
        </w:rPr>
        <w:t>desta Lei serão fornecidos à Secretaria Especial da Receita Federal do Brasil do Ministério da Economia pelo Banco Central do Brasil, quando solicitado, com base nos dados disponíveis em seus sistemas de informação.</w:t>
      </w:r>
    </w:p>
    <w:p w14:paraId="72264768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10. A Fazenda Nacional poderá verificar a exatidão dos créditos presumidos apurados de acordo com o disposto nos </w:t>
      </w:r>
      <w:proofErr w:type="spellStart"/>
      <w:r w:rsidRPr="00F66016">
        <w:rPr>
          <w:rFonts w:ascii="Courier New" w:hAnsi="Courier New" w:cs="Courier New"/>
          <w:b w:val="0"/>
          <w:snapToGrid w:val="0"/>
          <w:sz w:val="24"/>
        </w:rPr>
        <w:t>arts</w:t>
      </w:r>
      <w:proofErr w:type="spell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3º e 4º</w:t>
      </w:r>
      <w:r w:rsidR="004D0186" w:rsidRPr="00F66016">
        <w:rPr>
          <w:rFonts w:ascii="Courier New" w:hAnsi="Courier New" w:cs="Courier New"/>
          <w:b w:val="0"/>
          <w:snapToGrid w:val="0"/>
          <w:sz w:val="24"/>
        </w:rPr>
        <w:t xml:space="preserve">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pelo prazo de 5 (cinco) anos, contado da data do pedido de ressarcimento de que trata o art.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5º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Lei.</w:t>
      </w:r>
    </w:p>
    <w:p w14:paraId="418E5FC9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11. As instituições de que trata o art.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2º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 manterão os controles contábeis e a documentação necessários para identificar:</w:t>
      </w:r>
    </w:p>
    <w:p w14:paraId="0DFD775E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saldos dos créditos decorrentes de diferenças temporárias de que trata esta Lei; e</w:t>
      </w:r>
    </w:p>
    <w:p w14:paraId="4FD9005A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créditos concedidos no âmbito do PEC.</w:t>
      </w:r>
    </w:p>
    <w:p w14:paraId="52EF672B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12. A Secretaria Especial da Receita Federal do Brasil do Ministério da Economia, o Conselho Monetário Nacional, o Banco Central do Brasil e a Procuradoria-Geral da Fazenda Nacional, no âmbito de suas competências, disciplinarão o disposto nesta Lei.</w:t>
      </w:r>
    </w:p>
    <w:p w14:paraId="4555BABB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Parágrafo único. O Banco Central do Brasil será responsável pela supervisão do PEC e deverá:</w:t>
      </w:r>
    </w:p>
    <w:p w14:paraId="04E9772C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fiscalizar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o cumprimento, pelas instituições de que trata o art.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2</w:t>
      </w:r>
      <w:r w:rsidRPr="00F66016">
        <w:rPr>
          <w:rFonts w:ascii="Courier New" w:hAnsi="Courier New" w:cs="Courier New"/>
          <w:b w:val="0"/>
          <w:snapToGrid w:val="0"/>
          <w:sz w:val="24"/>
        </w:rPr>
        <w:t>º desta Lei, das condições de adesão ao PEC estabelecidas pelo Conselho Monetário Nacional; e</w:t>
      </w:r>
    </w:p>
    <w:p w14:paraId="0B8D814B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acompanhar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>, avaliar e divulgar mensalmente os resultado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s obtidos no âmbito do PEC.</w:t>
      </w:r>
    </w:p>
    <w:p w14:paraId="4EA5D776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13. A Lei nº 13.999, de 18 de maio de 2020, passa a vigorar com as seguintes alterações:</w:t>
      </w:r>
    </w:p>
    <w:p w14:paraId="4B47B311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“Art. 2º ................................</w:t>
      </w:r>
    </w:p>
    <w:p w14:paraId="18AD6DEB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...................................................</w:t>
      </w:r>
    </w:p>
    <w:p w14:paraId="505E8293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 xml:space="preserve">§ 3º As pessoas a que se refere o </w:t>
      </w:r>
      <w:r w:rsidRPr="00F66016">
        <w:rPr>
          <w:rFonts w:ascii="Courier New" w:hAnsi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/>
          <w:b w:val="0"/>
          <w:snapToGrid w:val="0"/>
          <w:sz w:val="24"/>
        </w:rPr>
        <w:t xml:space="preserve"> deste artigo que contratarem as linhas de crédito no âmbito do </w:t>
      </w:r>
      <w:proofErr w:type="spellStart"/>
      <w:r w:rsidRPr="00F66016">
        <w:rPr>
          <w:rFonts w:ascii="Courier New" w:hAnsi="Courier New"/>
          <w:b w:val="0"/>
          <w:snapToGrid w:val="0"/>
          <w:sz w:val="24"/>
        </w:rPr>
        <w:t>Pronampe</w:t>
      </w:r>
      <w:proofErr w:type="spellEnd"/>
      <w:r w:rsidRPr="00F66016">
        <w:rPr>
          <w:rFonts w:ascii="Courier New" w:hAnsi="Courier New"/>
          <w:b w:val="0"/>
          <w:snapToGrid w:val="0"/>
          <w:sz w:val="24"/>
        </w:rPr>
        <w:t xml:space="preserve"> assumirão contratualmente a obrigação de fornecer informações verídicas e de preservar o quantitativo de empregados em número igual ou superior ao verificado no último dia do ano anterior ao da contratação da linha de crédito, no período compreendido entre a data da contratação e o sexagésimo dia após o recebimento da última parcela da linha de crédito.</w:t>
      </w:r>
    </w:p>
    <w:p w14:paraId="54C40FB4" w14:textId="77777777" w:rsidR="00DF2AEC" w:rsidRPr="00F66016" w:rsidRDefault="007400EB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§ 3º-A</w:t>
      </w:r>
      <w:r w:rsidR="00DF2AEC" w:rsidRPr="00F66016">
        <w:rPr>
          <w:rFonts w:ascii="Courier New" w:hAnsi="Courier New"/>
          <w:b w:val="0"/>
          <w:snapToGrid w:val="0"/>
          <w:sz w:val="24"/>
        </w:rPr>
        <w:t xml:space="preserve"> </w:t>
      </w:r>
      <w:r w:rsidRPr="00F66016">
        <w:rPr>
          <w:rFonts w:ascii="Courier New" w:hAnsi="Courier New"/>
          <w:b w:val="0"/>
          <w:snapToGrid w:val="0"/>
          <w:sz w:val="24"/>
        </w:rPr>
        <w:t>Quando se tratar de</w:t>
      </w:r>
      <w:r w:rsidR="00DF2AEC" w:rsidRPr="00F66016">
        <w:rPr>
          <w:rFonts w:ascii="Courier New" w:hAnsi="Courier New"/>
          <w:b w:val="0"/>
          <w:snapToGrid w:val="0"/>
          <w:sz w:val="24"/>
        </w:rPr>
        <w:t xml:space="preserve"> empresa criada após o marco de que trata o § 3º deste artigo, será observado o quantitativo de empregados do dia ou mês anterior à contratação do empréstimo, o que for maior.</w:t>
      </w:r>
    </w:p>
    <w:p w14:paraId="009B3F1E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..............................................</w:t>
      </w:r>
      <w:proofErr w:type="gramStart"/>
      <w:r w:rsidRPr="00F66016">
        <w:rPr>
          <w:rFonts w:ascii="Courier New" w:hAnsi="Courier New"/>
          <w:b w:val="0"/>
          <w:snapToGrid w:val="0"/>
          <w:sz w:val="24"/>
        </w:rPr>
        <w:t>”(</w:t>
      </w:r>
      <w:proofErr w:type="gramEnd"/>
      <w:r w:rsidRPr="00F66016">
        <w:rPr>
          <w:rFonts w:ascii="Courier New" w:hAnsi="Courier New"/>
          <w:b w:val="0"/>
          <w:snapToGrid w:val="0"/>
          <w:sz w:val="24"/>
        </w:rPr>
        <w:t>NR)</w:t>
      </w:r>
    </w:p>
    <w:p w14:paraId="5ED10364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“Art. 3º ................................</w:t>
      </w:r>
    </w:p>
    <w:p w14:paraId="137BF497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...................................................</w:t>
      </w:r>
    </w:p>
    <w:p w14:paraId="1562FAF5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 xml:space="preserve">II – </w:t>
      </w:r>
      <w:proofErr w:type="gramStart"/>
      <w:r w:rsidRPr="00F66016">
        <w:rPr>
          <w:rFonts w:ascii="Courier New" w:hAnsi="Courier New"/>
          <w:b w:val="0"/>
          <w:snapToGrid w:val="0"/>
          <w:sz w:val="24"/>
        </w:rPr>
        <w:t>prazo</w:t>
      </w:r>
      <w:proofErr w:type="gramEnd"/>
      <w:r w:rsidRPr="00F66016">
        <w:rPr>
          <w:rFonts w:ascii="Courier New" w:hAnsi="Courier New"/>
          <w:b w:val="0"/>
          <w:snapToGrid w:val="0"/>
          <w:sz w:val="24"/>
        </w:rPr>
        <w:t xml:space="preserve"> de 48 (quarenta e oito) meses para o pagamento;</w:t>
      </w:r>
    </w:p>
    <w:p w14:paraId="11424207" w14:textId="77777777" w:rsidR="00DF2AEC" w:rsidRPr="00F66016" w:rsidRDefault="00DF2AEC" w:rsidP="00A128AC">
      <w:pPr>
        <w:tabs>
          <w:tab w:val="left" w:leader="dot" w:pos="9072"/>
        </w:tabs>
        <w:spacing w:line="360" w:lineRule="auto"/>
        <w:ind w:left="1418"/>
        <w:jc w:val="both"/>
        <w:rPr>
          <w:b w:val="0"/>
        </w:rPr>
      </w:pPr>
      <w:r w:rsidRPr="00F66016">
        <w:rPr>
          <w:rFonts w:ascii="Courier New" w:hAnsi="Courier New"/>
          <w:b w:val="0"/>
          <w:snapToGrid w:val="0"/>
          <w:sz w:val="24"/>
        </w:rPr>
        <w:lastRenderedPageBreak/>
        <w:t>..............................................</w:t>
      </w:r>
      <w:proofErr w:type="gramStart"/>
      <w:r w:rsidRPr="00F66016">
        <w:rPr>
          <w:rFonts w:ascii="Courier New" w:hAnsi="Courier New"/>
          <w:b w:val="0"/>
          <w:snapToGrid w:val="0"/>
          <w:sz w:val="24"/>
        </w:rPr>
        <w:t>”(</w:t>
      </w:r>
      <w:proofErr w:type="gramEnd"/>
      <w:r w:rsidRPr="00F66016">
        <w:rPr>
          <w:rFonts w:ascii="Courier New" w:hAnsi="Courier New"/>
          <w:b w:val="0"/>
          <w:snapToGrid w:val="0"/>
          <w:sz w:val="24"/>
        </w:rPr>
        <w:t>NR)</w:t>
      </w:r>
    </w:p>
    <w:p w14:paraId="35EBC2C9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“Art. 3º-A ..............................</w:t>
      </w:r>
    </w:p>
    <w:p w14:paraId="309C745C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...................................................</w:t>
      </w:r>
    </w:p>
    <w:p w14:paraId="7D28B101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III - valor da operação limitado a 50% (cinquenta por cento) do total anual do rendimento do trabalho sem vínculo empregatício informado na Declaração de Ajuste Anual referente ao ano-calendário anterior ao da contratação da linha de crédito, no limite máximo de R$ 100.000,00 (cem mil reais).</w:t>
      </w:r>
    </w:p>
    <w:p w14:paraId="1D1B6D6D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..............................................</w:t>
      </w:r>
      <w:proofErr w:type="gramStart"/>
      <w:r w:rsidRPr="00F66016">
        <w:rPr>
          <w:rFonts w:ascii="Courier New" w:hAnsi="Courier New"/>
          <w:b w:val="0"/>
          <w:snapToGrid w:val="0"/>
          <w:sz w:val="24"/>
        </w:rPr>
        <w:t>”(</w:t>
      </w:r>
      <w:proofErr w:type="gramEnd"/>
      <w:r w:rsidRPr="00F66016">
        <w:rPr>
          <w:rFonts w:ascii="Courier New" w:hAnsi="Courier New"/>
          <w:b w:val="0"/>
          <w:snapToGrid w:val="0"/>
          <w:sz w:val="24"/>
        </w:rPr>
        <w:t>NR)</w:t>
      </w:r>
    </w:p>
    <w:p w14:paraId="40419E07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14</w:t>
      </w:r>
      <w:r w:rsidR="00FD0E12" w:rsidRPr="00F66016">
        <w:rPr>
          <w:rFonts w:ascii="Courier New" w:hAnsi="Courier New" w:cs="Courier New"/>
          <w:b w:val="0"/>
          <w:snapToGrid w:val="0"/>
          <w:sz w:val="24"/>
        </w:rPr>
        <w:t>.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O art. 4º da Lei nº 14.161, de 2 de junho de 2021, passa a vigorar com a seguinte redação:</w:t>
      </w:r>
    </w:p>
    <w:p w14:paraId="30584B8F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 xml:space="preserve">“Art. 4º Fica autorizada a prorrogação das parcelas vincendas e vencidas dos empréstimos por meio do </w:t>
      </w:r>
      <w:proofErr w:type="spellStart"/>
      <w:r w:rsidRPr="00F66016">
        <w:rPr>
          <w:rFonts w:ascii="Courier New" w:hAnsi="Courier New"/>
          <w:b w:val="0"/>
          <w:snapToGrid w:val="0"/>
          <w:sz w:val="24"/>
        </w:rPr>
        <w:t>Pronampe</w:t>
      </w:r>
      <w:proofErr w:type="spellEnd"/>
      <w:r w:rsidRPr="00F66016">
        <w:rPr>
          <w:rFonts w:ascii="Courier New" w:hAnsi="Courier New"/>
          <w:b w:val="0"/>
          <w:snapToGrid w:val="0"/>
          <w:sz w:val="24"/>
        </w:rPr>
        <w:t xml:space="preserve">, de que trata a Lei nº 13.999, de 18 de maio de 2020, por até 365 (trezentos e sessenta e cinco) dias ou 12 (doze) meses, observada a política de crédito da instituição contratante e mediante solicitação do </w:t>
      </w:r>
      <w:proofErr w:type="gramStart"/>
      <w:r w:rsidRPr="00F66016">
        <w:rPr>
          <w:rFonts w:ascii="Courier New" w:hAnsi="Courier New"/>
          <w:b w:val="0"/>
          <w:snapToGrid w:val="0"/>
          <w:sz w:val="24"/>
        </w:rPr>
        <w:t>mutuário.”</w:t>
      </w:r>
      <w:proofErr w:type="gramEnd"/>
      <w:r w:rsidRPr="00F66016">
        <w:rPr>
          <w:rFonts w:ascii="Courier New" w:hAnsi="Courier New"/>
          <w:b w:val="0"/>
          <w:snapToGrid w:val="0"/>
          <w:sz w:val="24"/>
        </w:rPr>
        <w:t>(NR)</w:t>
      </w:r>
    </w:p>
    <w:p w14:paraId="46577EB2" w14:textId="58616C6D" w:rsidR="00DF2AEC" w:rsidRPr="00D1796B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15</w:t>
      </w:r>
      <w:r w:rsidR="00D1796B">
        <w:rPr>
          <w:rFonts w:ascii="Courier New" w:hAnsi="Courier New" w:cs="Courier New"/>
          <w:b w:val="0"/>
          <w:snapToGrid w:val="0"/>
          <w:sz w:val="24"/>
        </w:rPr>
        <w:t>.</w:t>
      </w:r>
      <w:r w:rsidR="00853395" w:rsidRPr="00D1796B">
        <w:rPr>
          <w:rFonts w:ascii="Courier New" w:hAnsi="Courier New" w:cs="Courier New"/>
          <w:b w:val="0"/>
          <w:snapToGrid w:val="0"/>
          <w:sz w:val="24"/>
        </w:rPr>
        <w:t xml:space="preserve"> O art</w:t>
      </w:r>
      <w:r w:rsidR="00FB0A74" w:rsidRPr="00D1796B">
        <w:rPr>
          <w:rFonts w:ascii="Courier New" w:hAnsi="Courier New" w:cs="Courier New"/>
          <w:b w:val="0"/>
          <w:snapToGrid w:val="0"/>
          <w:sz w:val="24"/>
        </w:rPr>
        <w:t>.</w:t>
      </w:r>
      <w:r w:rsidR="00853395" w:rsidRPr="00D1796B">
        <w:rPr>
          <w:rFonts w:ascii="Courier New" w:hAnsi="Courier New" w:cs="Courier New"/>
          <w:b w:val="0"/>
          <w:snapToGrid w:val="0"/>
          <w:sz w:val="24"/>
        </w:rPr>
        <w:t xml:space="preserve"> 3º-A da Lei nº 10.150, de 21 de dezembro de 2000, passa a vigorar com a</w:t>
      </w:r>
      <w:r w:rsidR="00FB0A74" w:rsidRPr="00D1796B">
        <w:rPr>
          <w:rFonts w:ascii="Courier New" w:hAnsi="Courier New" w:cs="Courier New"/>
          <w:b w:val="0"/>
          <w:snapToGrid w:val="0"/>
          <w:sz w:val="24"/>
        </w:rPr>
        <w:t>s</w:t>
      </w:r>
      <w:r w:rsidR="00853395" w:rsidRPr="00D1796B">
        <w:rPr>
          <w:rFonts w:ascii="Courier New" w:hAnsi="Courier New" w:cs="Courier New"/>
          <w:b w:val="0"/>
          <w:snapToGrid w:val="0"/>
          <w:sz w:val="24"/>
        </w:rPr>
        <w:t xml:space="preserve"> seguinte</w:t>
      </w:r>
      <w:r w:rsidR="00FB0A74" w:rsidRPr="00D1796B">
        <w:rPr>
          <w:rFonts w:ascii="Courier New" w:hAnsi="Courier New" w:cs="Courier New"/>
          <w:b w:val="0"/>
          <w:snapToGrid w:val="0"/>
          <w:sz w:val="24"/>
        </w:rPr>
        <w:t>s alterações</w:t>
      </w:r>
      <w:r w:rsidRPr="00D1796B">
        <w:rPr>
          <w:rFonts w:ascii="Courier New" w:hAnsi="Courier New" w:cs="Courier New"/>
          <w:b w:val="0"/>
          <w:snapToGrid w:val="0"/>
          <w:sz w:val="24"/>
        </w:rPr>
        <w:t>:</w:t>
      </w:r>
    </w:p>
    <w:p w14:paraId="25A45306" w14:textId="77777777" w:rsidR="00DF2AEC" w:rsidRPr="00D1796B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D1796B">
        <w:rPr>
          <w:rFonts w:ascii="Courier New" w:hAnsi="Courier New"/>
          <w:b w:val="0"/>
          <w:snapToGrid w:val="0"/>
          <w:sz w:val="24"/>
        </w:rPr>
        <w:t>“Art. 3º-A ..............................</w:t>
      </w:r>
    </w:p>
    <w:p w14:paraId="3981B369" w14:textId="463A32CC" w:rsidR="00853395" w:rsidRPr="00D1796B" w:rsidRDefault="00853395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D1796B">
        <w:rPr>
          <w:rFonts w:ascii="Courier New" w:hAnsi="Courier New"/>
          <w:b w:val="0"/>
          <w:snapToGrid w:val="0"/>
          <w:sz w:val="24"/>
        </w:rPr>
        <w:t xml:space="preserve">§ 1º </w:t>
      </w:r>
      <w:r w:rsidR="00DF2AEC" w:rsidRPr="00D1796B">
        <w:rPr>
          <w:rFonts w:ascii="Courier New" w:hAnsi="Courier New"/>
          <w:b w:val="0"/>
          <w:snapToGrid w:val="0"/>
          <w:sz w:val="24"/>
        </w:rPr>
        <w:t xml:space="preserve">Não se aplica o disposto nos incisos VII, VIII e IX do </w:t>
      </w:r>
      <w:r w:rsidR="00DF2AEC" w:rsidRPr="00D1796B">
        <w:rPr>
          <w:rFonts w:ascii="Courier New" w:hAnsi="Courier New"/>
          <w:b w:val="0"/>
          <w:i/>
          <w:snapToGrid w:val="0"/>
          <w:sz w:val="24"/>
        </w:rPr>
        <w:t>caput</w:t>
      </w:r>
      <w:r w:rsidRPr="00D1796B">
        <w:rPr>
          <w:rFonts w:ascii="Courier New" w:hAnsi="Courier New"/>
          <w:b w:val="0"/>
          <w:snapToGrid w:val="0"/>
          <w:sz w:val="24"/>
        </w:rPr>
        <w:t xml:space="preserve">, bem como </w:t>
      </w:r>
      <w:r w:rsidR="00DF2AEC" w:rsidRPr="00D1796B">
        <w:rPr>
          <w:rFonts w:ascii="Courier New" w:hAnsi="Courier New"/>
          <w:b w:val="0"/>
          <w:snapToGrid w:val="0"/>
          <w:sz w:val="24"/>
        </w:rPr>
        <w:t>no § 23</w:t>
      </w:r>
      <w:r w:rsidRPr="00D1796B">
        <w:rPr>
          <w:rFonts w:ascii="Courier New" w:hAnsi="Courier New"/>
          <w:b w:val="0"/>
          <w:snapToGrid w:val="0"/>
          <w:sz w:val="24"/>
        </w:rPr>
        <w:t>, todos</w:t>
      </w:r>
      <w:r w:rsidR="00DF2AEC" w:rsidRPr="00D1796B">
        <w:rPr>
          <w:rFonts w:ascii="Courier New" w:hAnsi="Courier New"/>
          <w:b w:val="0"/>
          <w:snapToGrid w:val="0"/>
          <w:sz w:val="24"/>
        </w:rPr>
        <w:t xml:space="preserve"> do art. 3º desta</w:t>
      </w:r>
      <w:r w:rsidR="00A128AC" w:rsidRPr="00D1796B">
        <w:rPr>
          <w:rFonts w:ascii="Courier New" w:hAnsi="Courier New"/>
          <w:b w:val="0"/>
          <w:snapToGrid w:val="0"/>
          <w:sz w:val="24"/>
        </w:rPr>
        <w:t xml:space="preserve"> Lei aos contratos </w:t>
      </w:r>
      <w:r w:rsidR="00FF42E1" w:rsidRPr="00D1796B">
        <w:rPr>
          <w:rFonts w:ascii="Courier New" w:hAnsi="Courier New"/>
          <w:b w:val="0"/>
          <w:snapToGrid w:val="0"/>
          <w:sz w:val="24"/>
        </w:rPr>
        <w:t xml:space="preserve">referenciados </w:t>
      </w:r>
      <w:r w:rsidR="00DF2AEC" w:rsidRPr="00D1796B">
        <w:rPr>
          <w:rFonts w:ascii="Courier New" w:hAnsi="Courier New"/>
          <w:b w:val="0"/>
          <w:snapToGrid w:val="0"/>
          <w:sz w:val="24"/>
        </w:rPr>
        <w:t xml:space="preserve">no </w:t>
      </w:r>
      <w:r w:rsidR="00DF2AEC" w:rsidRPr="00D1796B">
        <w:rPr>
          <w:rFonts w:ascii="Courier New" w:hAnsi="Courier New"/>
          <w:b w:val="0"/>
          <w:i/>
          <w:snapToGrid w:val="0"/>
          <w:sz w:val="24"/>
        </w:rPr>
        <w:t>caput</w:t>
      </w:r>
      <w:r w:rsidR="00DF2AEC" w:rsidRPr="00D1796B">
        <w:rPr>
          <w:rFonts w:ascii="Courier New" w:hAnsi="Courier New"/>
          <w:b w:val="0"/>
          <w:snapToGrid w:val="0"/>
          <w:sz w:val="24"/>
        </w:rPr>
        <w:t xml:space="preserve"> deste artigo.</w:t>
      </w:r>
    </w:p>
    <w:p w14:paraId="2C11D749" w14:textId="012C6BB4" w:rsidR="00DF2AEC" w:rsidRPr="00F66016" w:rsidRDefault="00853395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D1796B">
        <w:rPr>
          <w:rFonts w:ascii="Courier New" w:hAnsi="Courier New"/>
          <w:b w:val="0"/>
          <w:snapToGrid w:val="0"/>
          <w:sz w:val="24"/>
        </w:rPr>
        <w:t>§ 2º Na hipótese deste artigo, a autorização a que se refere o inciso X do</w:t>
      </w:r>
      <w:r w:rsidR="00FB0A74" w:rsidRPr="00D1796B">
        <w:rPr>
          <w:rFonts w:ascii="Courier New" w:hAnsi="Courier New"/>
          <w:b w:val="0"/>
          <w:snapToGrid w:val="0"/>
          <w:sz w:val="24"/>
        </w:rPr>
        <w:t xml:space="preserve"> </w:t>
      </w:r>
      <w:r w:rsidR="00FB0A74" w:rsidRPr="00D1796B">
        <w:rPr>
          <w:rFonts w:ascii="Courier New" w:hAnsi="Courier New"/>
          <w:b w:val="0"/>
          <w:i/>
          <w:snapToGrid w:val="0"/>
          <w:sz w:val="24"/>
        </w:rPr>
        <w:t>caput</w:t>
      </w:r>
      <w:r w:rsidR="00FB0A74" w:rsidRPr="00D1796B">
        <w:rPr>
          <w:rFonts w:ascii="Courier New" w:hAnsi="Courier New"/>
          <w:b w:val="0"/>
          <w:snapToGrid w:val="0"/>
          <w:sz w:val="24"/>
        </w:rPr>
        <w:t xml:space="preserve"> do</w:t>
      </w:r>
      <w:r w:rsidRPr="00D1796B">
        <w:rPr>
          <w:rFonts w:ascii="Courier New" w:hAnsi="Courier New"/>
          <w:b w:val="0"/>
          <w:snapToGrid w:val="0"/>
          <w:sz w:val="24"/>
        </w:rPr>
        <w:t xml:space="preserve"> </w:t>
      </w:r>
      <w:r w:rsidRPr="00D1796B">
        <w:rPr>
          <w:rFonts w:ascii="Courier New" w:hAnsi="Courier New"/>
          <w:b w:val="0"/>
          <w:snapToGrid w:val="0"/>
          <w:sz w:val="24"/>
        </w:rPr>
        <w:lastRenderedPageBreak/>
        <w:t xml:space="preserve">art. 3º </w:t>
      </w:r>
      <w:r w:rsidR="00FB0A74" w:rsidRPr="00D1796B">
        <w:rPr>
          <w:rFonts w:ascii="Courier New" w:hAnsi="Courier New"/>
          <w:b w:val="0"/>
          <w:snapToGrid w:val="0"/>
          <w:sz w:val="24"/>
        </w:rPr>
        <w:t xml:space="preserve">desta Lei </w:t>
      </w:r>
      <w:r w:rsidRPr="00D1796B">
        <w:rPr>
          <w:rFonts w:ascii="Courier New" w:hAnsi="Courier New"/>
          <w:b w:val="0"/>
          <w:snapToGrid w:val="0"/>
          <w:sz w:val="24"/>
        </w:rPr>
        <w:t xml:space="preserve">limitar-se-á aos aspectos de oportunidade e conveniência da novação, </w:t>
      </w:r>
      <w:r w:rsidR="00022AEC">
        <w:rPr>
          <w:rFonts w:ascii="Courier New" w:hAnsi="Courier New"/>
          <w:b w:val="0"/>
          <w:snapToGrid w:val="0"/>
          <w:sz w:val="24"/>
        </w:rPr>
        <w:t xml:space="preserve">e será vinculada </w:t>
      </w:r>
      <w:r w:rsidRPr="00D1796B">
        <w:rPr>
          <w:rFonts w:ascii="Courier New" w:hAnsi="Courier New"/>
          <w:b w:val="0"/>
          <w:snapToGrid w:val="0"/>
          <w:sz w:val="24"/>
        </w:rPr>
        <w:t xml:space="preserve">às informações constantes </w:t>
      </w:r>
      <w:r w:rsidR="00FF42E1" w:rsidRPr="00D1796B">
        <w:rPr>
          <w:rFonts w:ascii="Courier New" w:hAnsi="Courier New"/>
          <w:b w:val="0"/>
          <w:snapToGrid w:val="0"/>
          <w:sz w:val="24"/>
        </w:rPr>
        <w:t>d</w:t>
      </w:r>
      <w:r w:rsidRPr="00D1796B">
        <w:rPr>
          <w:rFonts w:ascii="Courier New" w:hAnsi="Courier New"/>
          <w:b w:val="0"/>
          <w:snapToGrid w:val="0"/>
          <w:sz w:val="24"/>
        </w:rPr>
        <w:t xml:space="preserve">os sistemas e controles da Caixa Econômica Federal quanto </w:t>
      </w:r>
      <w:r w:rsidR="00FF42E1" w:rsidRPr="00D1796B">
        <w:rPr>
          <w:rFonts w:ascii="Courier New" w:hAnsi="Courier New"/>
          <w:b w:val="0"/>
          <w:snapToGrid w:val="0"/>
          <w:sz w:val="24"/>
        </w:rPr>
        <w:t>à</w:t>
      </w:r>
      <w:r w:rsidRPr="00D1796B">
        <w:rPr>
          <w:rFonts w:ascii="Courier New" w:hAnsi="Courier New"/>
          <w:b w:val="0"/>
          <w:snapToGrid w:val="0"/>
          <w:sz w:val="24"/>
        </w:rPr>
        <w:t xml:space="preserve"> titularidade, ao montante, à liquidez e à certeza da dívida marcados como auditados, respondendo a instituição financeira pela inexatidão ou eventuais diferenças decorrentes de dolo ou </w:t>
      </w:r>
      <w:proofErr w:type="gramStart"/>
      <w:r w:rsidRPr="00D1796B">
        <w:rPr>
          <w:rFonts w:ascii="Courier New" w:hAnsi="Courier New"/>
          <w:b w:val="0"/>
          <w:snapToGrid w:val="0"/>
          <w:sz w:val="24"/>
        </w:rPr>
        <w:t>fraude</w:t>
      </w:r>
      <w:r w:rsidR="00D1796B">
        <w:rPr>
          <w:rFonts w:ascii="Courier New" w:hAnsi="Courier New"/>
          <w:b w:val="0"/>
          <w:snapToGrid w:val="0"/>
          <w:sz w:val="24"/>
        </w:rPr>
        <w:t>.</w:t>
      </w:r>
      <w:r w:rsidR="00DF2AEC" w:rsidRPr="00D1796B">
        <w:rPr>
          <w:rFonts w:ascii="Courier New" w:hAnsi="Courier New"/>
          <w:b w:val="0"/>
          <w:snapToGrid w:val="0"/>
          <w:sz w:val="24"/>
        </w:rPr>
        <w:t>”</w:t>
      </w:r>
      <w:proofErr w:type="gramEnd"/>
      <w:r w:rsidR="00DF2AEC" w:rsidRPr="00D1796B">
        <w:rPr>
          <w:rFonts w:ascii="Courier New" w:hAnsi="Courier New"/>
          <w:b w:val="0"/>
          <w:snapToGrid w:val="0"/>
          <w:sz w:val="24"/>
        </w:rPr>
        <w:t>(NR)</w:t>
      </w:r>
    </w:p>
    <w:p w14:paraId="437CD7A6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16. Esta Lei entra em vigor na data de sua publicação.</w:t>
      </w:r>
    </w:p>
    <w:p w14:paraId="2769C3C3" w14:textId="05933805" w:rsidR="00DF2AEC" w:rsidRPr="00F66016" w:rsidRDefault="00A128A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Sala das Sessões, em </w:t>
      </w:r>
      <w:r w:rsidR="00FF42E1">
        <w:rPr>
          <w:rFonts w:ascii="Courier New" w:hAnsi="Courier New" w:cs="Courier New"/>
          <w:b w:val="0"/>
          <w:snapToGrid w:val="0"/>
          <w:sz w:val="24"/>
        </w:rPr>
        <w:t>8 de novembro de 2021.</w:t>
      </w:r>
    </w:p>
    <w:p w14:paraId="1F87DC1F" w14:textId="77777777" w:rsidR="00DF2AEC" w:rsidRPr="00F66016" w:rsidRDefault="00DF2AEC" w:rsidP="00DF2AEC">
      <w:pPr>
        <w:tabs>
          <w:tab w:val="left" w:leader="dot" w:pos="9072"/>
        </w:tabs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14:paraId="3A14414B" w14:textId="77777777" w:rsidR="00DF2AEC" w:rsidRPr="00F66016" w:rsidRDefault="00DF2AEC" w:rsidP="00DF2AEC">
      <w:pPr>
        <w:tabs>
          <w:tab w:val="left" w:leader="dot" w:pos="9072"/>
        </w:tabs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14:paraId="36199E48" w14:textId="77777777" w:rsidR="00DF2AEC" w:rsidRPr="00F66016" w:rsidRDefault="00DF2AEC" w:rsidP="00DF2AEC">
      <w:pPr>
        <w:tabs>
          <w:tab w:val="left" w:leader="dot" w:pos="9072"/>
        </w:tabs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14:paraId="0FDA074D" w14:textId="7BD8C90A" w:rsidR="00DF2AEC" w:rsidRPr="00F66016" w:rsidRDefault="00DF2AEC" w:rsidP="00DF2AEC">
      <w:pPr>
        <w:tabs>
          <w:tab w:val="left" w:leader="dot" w:pos="9072"/>
        </w:tabs>
        <w:jc w:val="center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Deputado</w:t>
      </w:r>
      <w:r w:rsidR="00A128AC" w:rsidRPr="00F66016">
        <w:rPr>
          <w:rFonts w:ascii="Courier New" w:hAnsi="Courier New" w:cs="Courier New"/>
          <w:b w:val="0"/>
          <w:snapToGrid w:val="0"/>
          <w:sz w:val="24"/>
        </w:rPr>
        <w:t xml:space="preserve"> </w:t>
      </w:r>
      <w:r w:rsidR="00FF42E1">
        <w:rPr>
          <w:rFonts w:ascii="Courier New" w:hAnsi="Courier New" w:cs="Courier New"/>
          <w:b w:val="0"/>
          <w:snapToGrid w:val="0"/>
          <w:sz w:val="24"/>
        </w:rPr>
        <w:t>HUGO MOTTA</w:t>
      </w:r>
    </w:p>
    <w:p w14:paraId="3A56D1F7" w14:textId="77777777" w:rsidR="00DF2AEC" w:rsidRPr="00F66016" w:rsidRDefault="00DF2AEC" w:rsidP="00DF2AEC">
      <w:pPr>
        <w:tabs>
          <w:tab w:val="left" w:leader="dot" w:pos="9072"/>
        </w:tabs>
        <w:jc w:val="center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Relator</w:t>
      </w:r>
    </w:p>
    <w:p w14:paraId="2FC1C507" w14:textId="77777777" w:rsidR="00DF2AEC" w:rsidRPr="00F66016" w:rsidRDefault="00DF2AEC" w:rsidP="00DF2AEC">
      <w:pPr>
        <w:suppressAutoHyphens w:val="0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cs="Courier New"/>
          <w:b w:val="0"/>
        </w:rPr>
        <w:br w:type="page"/>
      </w:r>
    </w:p>
    <w:p w14:paraId="37B05E48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jc w:val="center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>ANEXO I</w:t>
      </w:r>
    </w:p>
    <w:p w14:paraId="041DC79A" w14:textId="77777777" w:rsidR="00DF2AEC" w:rsidRPr="00F66016" w:rsidRDefault="00DF2AEC" w:rsidP="00A128AC">
      <w:pPr>
        <w:tabs>
          <w:tab w:val="left" w:leader="dot" w:pos="9072"/>
        </w:tabs>
        <w:jc w:val="center"/>
        <w:rPr>
          <w:rFonts w:cs="Courier New"/>
          <w:b w:val="0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FÓRMULA PARA CALCULAR O VALOR DO CRÉDITO PRESUMIDO DE QUE TRATA O ART. </w:t>
      </w:r>
      <w:r w:rsidR="00A128AC" w:rsidRPr="00F66016">
        <w:rPr>
          <w:rFonts w:ascii="Courier New" w:hAnsi="Courier New" w:cs="Courier New"/>
          <w:b w:val="0"/>
          <w:snapToGrid w:val="0"/>
          <w:sz w:val="24"/>
        </w:rPr>
        <w:t>3</w:t>
      </w:r>
      <w:r w:rsidRPr="00F66016">
        <w:rPr>
          <w:rFonts w:ascii="Courier New" w:hAnsi="Courier New" w:cs="Courier New"/>
          <w:b w:val="0"/>
          <w:snapToGrid w:val="0"/>
          <w:sz w:val="24"/>
        </w:rPr>
        <w:t>º DESTA LEI</w:t>
      </w:r>
    </w:p>
    <w:p w14:paraId="057F1173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jc w:val="center"/>
        <w:rPr>
          <w:rFonts w:ascii="Courier New" w:hAnsi="Courier New" w:cs="Courier New"/>
          <w:b w:val="0"/>
          <w:snapToGrid w:val="0"/>
          <w:sz w:val="24"/>
        </w:rPr>
      </w:pPr>
    </w:p>
    <w:p w14:paraId="76CD2C96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lang w:val="en-US"/>
        </w:rPr>
      </w:pPr>
      <w:r w:rsidRPr="00F66016">
        <w:rPr>
          <w:rFonts w:ascii="Courier New" w:hAnsi="Courier New" w:cs="Courier New"/>
          <w:b w:val="0"/>
          <w:snapToGrid w:val="0"/>
          <w:sz w:val="24"/>
          <w:lang w:val="en-US"/>
        </w:rPr>
        <w:t>CP = CDTC x [PF / (CAP + RES)]</w:t>
      </w:r>
    </w:p>
    <w:p w14:paraId="38345F18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lang w:val="en-US"/>
        </w:rPr>
      </w:pPr>
    </w:p>
    <w:p w14:paraId="4C30E513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Em que:</w:t>
      </w:r>
    </w:p>
    <w:p w14:paraId="0AD0DD14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CP = valor do crédito presumido;</w:t>
      </w:r>
    </w:p>
    <w:p w14:paraId="09BDED35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PF = valor do prejuízo fiscal apurado no ano-calendário anterior;</w:t>
      </w:r>
    </w:p>
    <w:p w14:paraId="5641D2C9" w14:textId="03C6AFB1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CDTC = saldo de créditos decorrentes de diferenças temporárias, em conformidade com o disposto no art. </w:t>
      </w:r>
      <w:r w:rsidR="00DB010F">
        <w:rPr>
          <w:rFonts w:ascii="Courier New" w:hAnsi="Courier New" w:cs="Courier New"/>
          <w:b w:val="0"/>
          <w:snapToGrid w:val="0"/>
          <w:sz w:val="24"/>
        </w:rPr>
        <w:t>2</w:t>
      </w:r>
      <w:r w:rsidRPr="00F66016">
        <w:rPr>
          <w:rFonts w:ascii="Courier New" w:hAnsi="Courier New" w:cs="Courier New"/>
          <w:b w:val="0"/>
          <w:snapToGrid w:val="0"/>
          <w:sz w:val="24"/>
        </w:rPr>
        <w:t>º desta Lei, oriundos de registros existentes no ano-calendário anterior;</w:t>
      </w:r>
    </w:p>
    <w:p w14:paraId="36403C44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CAP = saldo da conta do capital social integralizado; e</w:t>
      </w:r>
    </w:p>
    <w:p w14:paraId="5954CEF9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RES = saldo de reservas de capital e de reservas de lucros, apurados depois das destinações.</w:t>
      </w:r>
    </w:p>
    <w:p w14:paraId="2595113B" w14:textId="77777777" w:rsidR="00DF2AEC" w:rsidRPr="00F66016" w:rsidRDefault="00DF2AEC" w:rsidP="00DF2AEC">
      <w:pPr>
        <w:suppressAutoHyphens w:val="0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cs="Courier New"/>
          <w:b w:val="0"/>
        </w:rPr>
        <w:br w:type="page"/>
      </w:r>
    </w:p>
    <w:p w14:paraId="62C2D80D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jc w:val="center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>ANEXO II</w:t>
      </w:r>
    </w:p>
    <w:p w14:paraId="67E75FD5" w14:textId="77777777" w:rsidR="00DF2AEC" w:rsidRPr="00F66016" w:rsidRDefault="00DF2AEC" w:rsidP="00A128AC">
      <w:pPr>
        <w:tabs>
          <w:tab w:val="left" w:leader="dot" w:pos="9072"/>
        </w:tabs>
        <w:jc w:val="center"/>
        <w:rPr>
          <w:rFonts w:cs="Courier New"/>
          <w:b w:val="0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FÓRMULA PARA CALCULAR O VALOR A SER ADICIONADO AO LUCRO LÍQUIDO, PARA FINS DE APURAÇÃO DO LUCRO REAL E DA BASE DE CÁLCULO DA CONTRIBUIÇÃO SOCIAL SOBRE O LUCRO LÍQUIDO, DE QUE TRATA O ART. </w:t>
      </w:r>
      <w:r w:rsidR="00A128AC" w:rsidRPr="00F66016">
        <w:rPr>
          <w:rFonts w:ascii="Courier New" w:hAnsi="Courier New" w:cs="Courier New"/>
          <w:b w:val="0"/>
          <w:snapToGrid w:val="0"/>
          <w:sz w:val="24"/>
        </w:rPr>
        <w:t>6º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</w:t>
      </w:r>
    </w:p>
    <w:p w14:paraId="32546AE9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jc w:val="center"/>
        <w:rPr>
          <w:rFonts w:ascii="Courier New" w:hAnsi="Courier New" w:cs="Courier New"/>
          <w:b w:val="0"/>
          <w:snapToGrid w:val="0"/>
          <w:sz w:val="24"/>
        </w:rPr>
      </w:pPr>
    </w:p>
    <w:p w14:paraId="6B964223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ADC = CP x (CREV/CDTC)</w:t>
      </w:r>
    </w:p>
    <w:p w14:paraId="7E741C37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14:paraId="476B7293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Em que:</w:t>
      </w:r>
    </w:p>
    <w:p w14:paraId="00175057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ADC = valor a ser adicionado ao lucro líquido, para fins de apuração do lucro real e da base de cálculo da CSLL;</w:t>
      </w:r>
    </w:p>
    <w:p w14:paraId="1971D267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CP = valor do crédito presumido no ano-calendário anterior;</w:t>
      </w:r>
    </w:p>
    <w:p w14:paraId="3EA1871F" w14:textId="77777777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CREV = valor da parcela revertida no ano-calendário anterior</w:t>
      </w:r>
      <w:r w:rsidR="009A7BD7" w:rsidRPr="00F66016">
        <w:rPr>
          <w:rFonts w:ascii="Courier New" w:hAnsi="Courier New" w:cs="Courier New"/>
          <w:b w:val="0"/>
          <w:snapToGrid w:val="0"/>
          <w:sz w:val="24"/>
        </w:rPr>
        <w:t xml:space="preserve"> </w:t>
      </w:r>
      <w:r w:rsidRPr="00F66016">
        <w:rPr>
          <w:rFonts w:ascii="Courier New" w:hAnsi="Courier New" w:cs="Courier New"/>
          <w:b w:val="0"/>
          <w:snapToGrid w:val="0"/>
          <w:sz w:val="24"/>
        </w:rPr>
        <w:t>da provisão ou da perda que gerou créditos decorrentes de diferenças temporárias; e</w:t>
      </w:r>
    </w:p>
    <w:p w14:paraId="55C97F41" w14:textId="6AD28EB4"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CDTC = saldo de créditos decorrentes de diferenças temporárias, em conformidade com o disposto no art. </w:t>
      </w:r>
      <w:r w:rsidR="007A48C6">
        <w:rPr>
          <w:rFonts w:ascii="Courier New" w:hAnsi="Courier New" w:cs="Courier New"/>
          <w:b w:val="0"/>
          <w:snapToGrid w:val="0"/>
          <w:sz w:val="24"/>
        </w:rPr>
        <w:t>3</w:t>
      </w:r>
      <w:r w:rsidR="002D5E02" w:rsidRPr="00F66016">
        <w:rPr>
          <w:rFonts w:ascii="Courier New" w:hAnsi="Courier New" w:cs="Courier New"/>
          <w:b w:val="0"/>
          <w:snapToGrid w:val="0"/>
          <w:sz w:val="24"/>
        </w:rPr>
        <w:t xml:space="preserve">º </w:t>
      </w:r>
      <w:r w:rsidRPr="00F66016">
        <w:rPr>
          <w:rFonts w:ascii="Courier New" w:hAnsi="Courier New" w:cs="Courier New"/>
          <w:b w:val="0"/>
          <w:snapToGrid w:val="0"/>
          <w:sz w:val="24"/>
        </w:rPr>
        <w:t>desta Lei, existentes no ano-calendário anterior.</w:t>
      </w:r>
    </w:p>
    <w:sectPr w:rsidR="00DF2AEC" w:rsidRPr="00F66016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9416BF" w14:textId="77777777" w:rsidR="000B065B" w:rsidRDefault="000B065B">
      <w:r>
        <w:separator/>
      </w:r>
    </w:p>
    <w:p w14:paraId="7839562E" w14:textId="77777777" w:rsidR="000B065B" w:rsidRDefault="000B065B"/>
  </w:endnote>
  <w:endnote w:type="continuationSeparator" w:id="0">
    <w:p w14:paraId="46F291B5" w14:textId="77777777" w:rsidR="000B065B" w:rsidRDefault="000B065B">
      <w:r>
        <w:continuationSeparator/>
      </w:r>
    </w:p>
    <w:p w14:paraId="62CC962F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8E7F6C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0BB3A03" w14:textId="77777777" w:rsidR="006C0DCB" w:rsidRDefault="006C0DCB">
    <w:pPr>
      <w:pStyle w:val="Rodap"/>
      <w:ind w:right="360"/>
    </w:pPr>
  </w:p>
  <w:p w14:paraId="09AD5CE9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EA0B1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05D790C7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69A936" w14:textId="77777777" w:rsidR="000B065B" w:rsidRDefault="000B065B">
      <w:r>
        <w:separator/>
      </w:r>
    </w:p>
    <w:p w14:paraId="508D5C86" w14:textId="77777777" w:rsidR="000B065B" w:rsidRDefault="000B065B"/>
  </w:footnote>
  <w:footnote w:type="continuationSeparator" w:id="0">
    <w:p w14:paraId="1C3450E2" w14:textId="77777777" w:rsidR="000B065B" w:rsidRDefault="000B065B">
      <w:r>
        <w:continuationSeparator/>
      </w:r>
    </w:p>
    <w:p w14:paraId="1E0FB450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CFC29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352A02A" w14:textId="77777777" w:rsidR="006C0DCB" w:rsidRDefault="006C0DCB">
    <w:pPr>
      <w:pStyle w:val="Cabealho"/>
      <w:ind w:right="360"/>
    </w:pPr>
  </w:p>
  <w:p w14:paraId="53D73B0E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A8D527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E2581">
      <w:rPr>
        <w:rStyle w:val="Nmerodepgina"/>
        <w:noProof/>
      </w:rPr>
      <w:t>12</w:t>
    </w:r>
    <w:r>
      <w:rPr>
        <w:rStyle w:val="Nmerodepgina"/>
      </w:rPr>
      <w:fldChar w:fldCharType="end"/>
    </w:r>
  </w:p>
  <w:p w14:paraId="0D0621EC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D23CB62" wp14:editId="313E21B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01F4FA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F5022A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E90DD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379FCB96" wp14:editId="0852012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0E2F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2AEC"/>
    <w:rsid w:val="00035898"/>
    <w:rsid w:val="00040530"/>
    <w:rsid w:val="000659C9"/>
    <w:rsid w:val="000847AC"/>
    <w:rsid w:val="000B065B"/>
    <w:rsid w:val="000C2F81"/>
    <w:rsid w:val="000F094E"/>
    <w:rsid w:val="001120A1"/>
    <w:rsid w:val="001A693F"/>
    <w:rsid w:val="001C198D"/>
    <w:rsid w:val="001C32BE"/>
    <w:rsid w:val="001F6DDF"/>
    <w:rsid w:val="00207463"/>
    <w:rsid w:val="0025430D"/>
    <w:rsid w:val="002D5E02"/>
    <w:rsid w:val="002E7130"/>
    <w:rsid w:val="002F3958"/>
    <w:rsid w:val="00301D27"/>
    <w:rsid w:val="00393CE3"/>
    <w:rsid w:val="00404CA2"/>
    <w:rsid w:val="00412B8D"/>
    <w:rsid w:val="004D0186"/>
    <w:rsid w:val="004F43ED"/>
    <w:rsid w:val="00525AB7"/>
    <w:rsid w:val="00561909"/>
    <w:rsid w:val="005C4626"/>
    <w:rsid w:val="00602E48"/>
    <w:rsid w:val="00604E49"/>
    <w:rsid w:val="00647B0C"/>
    <w:rsid w:val="006761D9"/>
    <w:rsid w:val="006C0DCB"/>
    <w:rsid w:val="006C4829"/>
    <w:rsid w:val="00705FD3"/>
    <w:rsid w:val="00711933"/>
    <w:rsid w:val="0071232A"/>
    <w:rsid w:val="0072494C"/>
    <w:rsid w:val="007400EB"/>
    <w:rsid w:val="00754A10"/>
    <w:rsid w:val="007657F4"/>
    <w:rsid w:val="00796DF0"/>
    <w:rsid w:val="007A48C6"/>
    <w:rsid w:val="007B34E1"/>
    <w:rsid w:val="007B5903"/>
    <w:rsid w:val="00840F0B"/>
    <w:rsid w:val="00853395"/>
    <w:rsid w:val="0086279A"/>
    <w:rsid w:val="00863863"/>
    <w:rsid w:val="008B57F5"/>
    <w:rsid w:val="0097659B"/>
    <w:rsid w:val="00992DD1"/>
    <w:rsid w:val="009A7BD7"/>
    <w:rsid w:val="00A05379"/>
    <w:rsid w:val="00A128AC"/>
    <w:rsid w:val="00AA74D0"/>
    <w:rsid w:val="00AD031B"/>
    <w:rsid w:val="00AE2581"/>
    <w:rsid w:val="00B92F03"/>
    <w:rsid w:val="00BA3467"/>
    <w:rsid w:val="00BB5EF2"/>
    <w:rsid w:val="00BE7484"/>
    <w:rsid w:val="00BF6D7E"/>
    <w:rsid w:val="00C67BEF"/>
    <w:rsid w:val="00C76B2B"/>
    <w:rsid w:val="00CA069C"/>
    <w:rsid w:val="00CD107E"/>
    <w:rsid w:val="00D1796B"/>
    <w:rsid w:val="00D67B20"/>
    <w:rsid w:val="00D85D20"/>
    <w:rsid w:val="00D944A9"/>
    <w:rsid w:val="00DB010F"/>
    <w:rsid w:val="00DB5A9D"/>
    <w:rsid w:val="00DF2AEC"/>
    <w:rsid w:val="00DF5BF2"/>
    <w:rsid w:val="00E10C16"/>
    <w:rsid w:val="00E20653"/>
    <w:rsid w:val="00E31C64"/>
    <w:rsid w:val="00E42D0A"/>
    <w:rsid w:val="00E87019"/>
    <w:rsid w:val="00E9114F"/>
    <w:rsid w:val="00E9542E"/>
    <w:rsid w:val="00E96681"/>
    <w:rsid w:val="00E975CB"/>
    <w:rsid w:val="00EA793E"/>
    <w:rsid w:val="00EF0843"/>
    <w:rsid w:val="00F23FBC"/>
    <w:rsid w:val="00F25CB9"/>
    <w:rsid w:val="00F66016"/>
    <w:rsid w:val="00FB0A74"/>
    <w:rsid w:val="00FD0E12"/>
    <w:rsid w:val="00FF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6441DA10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840F0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40F0B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40F0B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0F0B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0F0B"/>
    <w:rPr>
      <w:b/>
      <w:bCs/>
    </w:rPr>
  </w:style>
  <w:style w:type="paragraph" w:styleId="Reviso">
    <w:name w:val="Revision"/>
    <w:hidden/>
    <w:uiPriority w:val="99"/>
    <w:semiHidden/>
    <w:rsid w:val="00EA793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2380</Words>
  <Characters>12033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7</cp:revision>
  <cp:lastPrinted>2013-07-10T13:15:00Z</cp:lastPrinted>
  <dcterms:created xsi:type="dcterms:W3CDTF">2021-11-09T02:56:00Z</dcterms:created>
  <dcterms:modified xsi:type="dcterms:W3CDTF">2021-11-10T17:20:00Z</dcterms:modified>
</cp:coreProperties>
</file>