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79"/>
      </w:tblGrid>
      <w:tr w:rsidR="006A2288" w14:paraId="60655668" w14:textId="77777777">
        <w:tc>
          <w:tcPr>
            <w:tcW w:w="9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DDDDD"/>
            <w:tcMar>
              <w:left w:w="51" w:type="dxa"/>
            </w:tcMar>
          </w:tcPr>
          <w:p w14:paraId="60DD3948" w14:textId="77777777" w:rsidR="006A2288" w:rsidRDefault="00D75435">
            <w:pPr>
              <w:pBdr>
                <w:top w:val="nil"/>
                <w:left w:val="nil"/>
                <w:bottom w:val="nil"/>
                <w:right w:val="nil"/>
              </w:pBdr>
              <w:shd w:val="clear" w:color="auto" w:fill="D9D9D9"/>
              <w:jc w:val="center"/>
              <w:rPr>
                <w:rFonts w:ascii="Times New Roman" w:hAnsi="Times New Roman" w:cs="Times New Roman"/>
                <w:b/>
                <w:shd w:val="clear" w:color="auto" w:fill="DDDDDD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caps/>
                <w:shd w:val="clear" w:color="auto" w:fill="DDDDDD"/>
              </w:rPr>
              <w:t>Projeto de Lei</w:t>
            </w:r>
            <w:r>
              <w:rPr>
                <w:rFonts w:ascii="Times New Roman" w:hAnsi="Times New Roman" w:cs="Times New Roman"/>
                <w:b/>
                <w:shd w:val="clear" w:color="auto" w:fill="DDDDDD"/>
              </w:rPr>
              <w:t xml:space="preserve"> 4.054/2019</w:t>
            </w:r>
            <w:r w:rsidR="0006757E">
              <w:rPr>
                <w:rFonts w:ascii="Times New Roman" w:hAnsi="Times New Roman" w:cs="Times New Roman"/>
                <w:b/>
                <w:shd w:val="clear" w:color="auto" w:fill="DDDDDD"/>
              </w:rPr>
              <w:t xml:space="preserve"> </w:t>
            </w:r>
            <w:r w:rsidR="0006757E">
              <w:rPr>
                <w:rStyle w:val="Refdenotaderodap"/>
                <w:rFonts w:ascii="Times New Roman" w:hAnsi="Times New Roman" w:cs="Times New Roman"/>
                <w:b/>
                <w:shd w:val="clear" w:color="auto" w:fill="DDDDDD"/>
              </w:rPr>
              <w:footnoteReference w:id="1"/>
            </w:r>
          </w:p>
          <w:p w14:paraId="21EB7146" w14:textId="77777777" w:rsidR="00386371" w:rsidRDefault="00386371">
            <w:pPr>
              <w:pBdr>
                <w:top w:val="nil"/>
                <w:left w:val="nil"/>
                <w:bottom w:val="nil"/>
                <w:right w:val="nil"/>
              </w:pBdr>
              <w:shd w:val="clear" w:color="auto" w:fill="D9D9D9"/>
              <w:jc w:val="center"/>
              <w:rPr>
                <w:rFonts w:ascii="Times New Roman" w:hAnsi="Times New Roman" w:cs="Times New Roman"/>
                <w:b/>
                <w:shd w:val="clear" w:color="auto" w:fill="DDDDDD"/>
              </w:rPr>
            </w:pPr>
          </w:p>
        </w:tc>
      </w:tr>
    </w:tbl>
    <w:p w14:paraId="2AB0B4AA" w14:textId="77777777" w:rsidR="006A2288" w:rsidRDefault="006A2288"/>
    <w:p w14:paraId="7E8DA417" w14:textId="14F384DE" w:rsidR="008756EE" w:rsidRDefault="008756EE" w:rsidP="008756EE">
      <w:pPr>
        <w:pStyle w:val="Corpo"/>
        <w:spacing w:line="240" w:lineRule="atLeast"/>
        <w:ind w:firstLine="0"/>
        <w:rPr>
          <w:b/>
          <w:sz w:val="26"/>
          <w:szCs w:val="26"/>
        </w:rPr>
      </w:pPr>
      <w:r w:rsidRPr="008756EE">
        <w:rPr>
          <w:b/>
          <w:sz w:val="26"/>
          <w:szCs w:val="26"/>
        </w:rPr>
        <w:t>1.</w:t>
      </w:r>
      <w:r>
        <w:rPr>
          <w:b/>
          <w:sz w:val="26"/>
          <w:szCs w:val="26"/>
        </w:rPr>
        <w:t xml:space="preserve"> </w:t>
      </w:r>
      <w:r w:rsidR="00D75435" w:rsidRPr="00843A54">
        <w:rPr>
          <w:b/>
          <w:sz w:val="26"/>
          <w:szCs w:val="26"/>
        </w:rPr>
        <w:t>Síntese da Matéria:</w:t>
      </w:r>
    </w:p>
    <w:p w14:paraId="5D3CEE25" w14:textId="77777777" w:rsidR="008756EE" w:rsidRPr="008756EE" w:rsidRDefault="008756EE" w:rsidP="008756EE">
      <w:pPr>
        <w:pStyle w:val="Corpo"/>
        <w:spacing w:line="240" w:lineRule="atLeast"/>
        <w:ind w:firstLine="0"/>
        <w:rPr>
          <w:b/>
          <w:sz w:val="26"/>
          <w:szCs w:val="26"/>
        </w:rPr>
      </w:pPr>
    </w:p>
    <w:p w14:paraId="5692990C" w14:textId="5761E76C" w:rsidR="008756EE" w:rsidRPr="008607CD" w:rsidRDefault="00343226" w:rsidP="008756EE">
      <w:pPr>
        <w:tabs>
          <w:tab w:val="left" w:pos="720"/>
          <w:tab w:val="left" w:pos="1440"/>
          <w:tab w:val="left" w:pos="2160"/>
        </w:tabs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8756EE" w:rsidRPr="008607CD">
        <w:rPr>
          <w:rFonts w:ascii="Times New Roman" w:hAnsi="Times New Roman"/>
        </w:rPr>
        <w:t>O PL nº 4.054/2019 objetiva modificar o art. 2º da Lei nº 8.001, de 13 de julho de 2000, com acréscimo de novo parágrafo com a seguinte disposição: “as ações orçamentárias da Agência Nacional de Mineração, que tenham como fonte de recursos a compensação financeira prevista no inciso I do § 2º deste artigo, não serão objeto da limitação de empenho e movimentação financeira de que trata o art. 9º da Lei Complementar nº 101, de 4 de maio de 2000”.</w:t>
      </w:r>
    </w:p>
    <w:p w14:paraId="77574AC3" w14:textId="77777777" w:rsidR="000B06FF" w:rsidRDefault="000B06FF" w:rsidP="00C12155">
      <w:pPr>
        <w:jc w:val="both"/>
      </w:pPr>
    </w:p>
    <w:p w14:paraId="6ADC1B57" w14:textId="77777777" w:rsidR="000B06FF" w:rsidRDefault="000B06FF" w:rsidP="00843A54">
      <w:pPr>
        <w:pStyle w:val="Corpo"/>
        <w:spacing w:line="240" w:lineRule="atLeast"/>
        <w:ind w:firstLine="0"/>
      </w:pPr>
      <w:r w:rsidRPr="00843A54">
        <w:rPr>
          <w:b/>
          <w:sz w:val="26"/>
          <w:szCs w:val="26"/>
        </w:rPr>
        <w:t>2. Análise:</w:t>
      </w:r>
    </w:p>
    <w:p w14:paraId="1911C63A" w14:textId="77777777" w:rsidR="006A2288" w:rsidRDefault="006A2288" w:rsidP="00EF44F7">
      <w:pPr>
        <w:jc w:val="both"/>
      </w:pPr>
    </w:p>
    <w:p w14:paraId="59B2BA6C" w14:textId="2E87FF6E" w:rsidR="008756EE" w:rsidRDefault="008756EE" w:rsidP="00343226">
      <w:pPr>
        <w:spacing w:after="120"/>
        <w:jc w:val="both"/>
      </w:pPr>
      <w:r>
        <w:t xml:space="preserve"> </w:t>
      </w:r>
      <w:r>
        <w:tab/>
        <w:t>A proposição contraria a determinação do art. 61 da Constituição Federal, que trata da iniciativa das leis complementares e ordinárias. De acordo com o mandamento constitucional contido na alínea c do inciso II do § 1º do citado artigo, são de iniciativa privativa do Presidente da República as leis que disponham sobre matéria tributária e orçamentária, entre outros assuntos. Por conseguinte, o PL nº 4.054/2019, de iniciativa parlamentar, não poderia dispor sobre normas de execução orçamentária e financeira, tais como as que disciplinam o empenho e a movimentação financeira de créditos orçamentários aprovados nas leis orçamentárias anuais da União.</w:t>
      </w:r>
    </w:p>
    <w:p w14:paraId="38A6A8B6" w14:textId="77777777" w:rsidR="008756EE" w:rsidRDefault="008756EE" w:rsidP="00343226">
      <w:pPr>
        <w:spacing w:after="120"/>
        <w:jc w:val="both"/>
      </w:pPr>
      <w:r>
        <w:tab/>
        <w:t xml:space="preserve">No mesmo sentido dispõe a Lei de Responsabilidade Fiscal - LRF (Lei Complementar nº 101, de 4 de maio de 2000), quando, no art. 4º, inciso I, alínea b, determina que é competência </w:t>
      </w:r>
      <w:proofErr w:type="gramStart"/>
      <w:r>
        <w:t>das</w:t>
      </w:r>
      <w:proofErr w:type="gramEnd"/>
      <w:r>
        <w:t xml:space="preserve"> leis de diretrizes orçamentárias dispor sobre “critérios e forma de limitação de empenho, a ser efetivada nas hipóteses previstas” na alínea b do inciso II do seu art. 4º, no seu art. 9º e no inciso II do § 1º do seu art. 31.</w:t>
      </w:r>
    </w:p>
    <w:p w14:paraId="59EE6F04" w14:textId="325EEFA9" w:rsidR="009627CB" w:rsidRDefault="008756EE" w:rsidP="00343226">
      <w:pPr>
        <w:spacing w:after="120"/>
        <w:jc w:val="both"/>
      </w:pPr>
      <w:r>
        <w:tab/>
        <w:t>Consequentemente, verifica-se que o PL n.º 4.054/2019 não pode ser considerado adequado ou compatível quanto aos aspectos orçamentário e financeiro.</w:t>
      </w:r>
    </w:p>
    <w:p w14:paraId="277F1FF4" w14:textId="77777777" w:rsidR="008756EE" w:rsidRPr="00C90B3E" w:rsidRDefault="008756EE" w:rsidP="008756EE">
      <w:pPr>
        <w:jc w:val="both"/>
      </w:pPr>
    </w:p>
    <w:p w14:paraId="2B25E564" w14:textId="77777777" w:rsidR="006562E7" w:rsidRDefault="006562E7" w:rsidP="00C12155">
      <w:pPr>
        <w:pStyle w:val="Corpo"/>
        <w:spacing w:line="240" w:lineRule="atLeast"/>
        <w:ind w:firstLine="0"/>
        <w:rPr>
          <w:b/>
          <w:sz w:val="26"/>
          <w:szCs w:val="26"/>
        </w:rPr>
      </w:pPr>
      <w:r>
        <w:rPr>
          <w:b/>
          <w:sz w:val="26"/>
          <w:szCs w:val="26"/>
        </w:rPr>
        <w:t>3. Dispositivos Infringidos:</w:t>
      </w:r>
    </w:p>
    <w:p w14:paraId="67DDE73F" w14:textId="77777777" w:rsidR="006562E7" w:rsidRDefault="006562E7" w:rsidP="00C12155">
      <w:pPr>
        <w:pStyle w:val="Corpo"/>
        <w:spacing w:line="240" w:lineRule="atLeast"/>
        <w:ind w:firstLine="0"/>
      </w:pPr>
    </w:p>
    <w:p w14:paraId="46FD4563" w14:textId="4CBF611D" w:rsidR="006562E7" w:rsidRPr="00343226" w:rsidRDefault="008756EE" w:rsidP="00C12155">
      <w:pPr>
        <w:pStyle w:val="Corpo"/>
        <w:spacing w:line="240" w:lineRule="atLeast"/>
        <w:ind w:firstLine="0"/>
        <w:rPr>
          <w:bCs/>
          <w:szCs w:val="24"/>
        </w:rPr>
      </w:pPr>
      <w:r w:rsidRPr="00343226">
        <w:rPr>
          <w:bCs/>
          <w:szCs w:val="24"/>
        </w:rPr>
        <w:t xml:space="preserve"> </w:t>
      </w:r>
      <w:r w:rsidRPr="00343226">
        <w:rPr>
          <w:bCs/>
          <w:szCs w:val="24"/>
        </w:rPr>
        <w:tab/>
        <w:t>- Art. 61 da Constituição Federal;</w:t>
      </w:r>
    </w:p>
    <w:p w14:paraId="46BA45B1" w14:textId="176C1798" w:rsidR="008756EE" w:rsidRPr="00343226" w:rsidRDefault="008756EE" w:rsidP="00C12155">
      <w:pPr>
        <w:pStyle w:val="Corpo"/>
        <w:spacing w:line="240" w:lineRule="atLeast"/>
        <w:ind w:firstLine="0"/>
        <w:rPr>
          <w:bCs/>
          <w:szCs w:val="24"/>
        </w:rPr>
      </w:pPr>
      <w:r w:rsidRPr="00343226">
        <w:rPr>
          <w:bCs/>
          <w:szCs w:val="24"/>
        </w:rPr>
        <w:t xml:space="preserve"> </w:t>
      </w:r>
      <w:r w:rsidRPr="00343226">
        <w:rPr>
          <w:bCs/>
          <w:szCs w:val="24"/>
        </w:rPr>
        <w:tab/>
        <w:t>- Art. 4º, I, “b”, da Lei de Responsabilidade Fiscal – LRF</w:t>
      </w:r>
    </w:p>
    <w:p w14:paraId="482A9563" w14:textId="77777777" w:rsidR="008756EE" w:rsidRDefault="008756EE" w:rsidP="00C12155">
      <w:pPr>
        <w:pStyle w:val="Corpo"/>
        <w:spacing w:line="240" w:lineRule="atLeast"/>
        <w:ind w:firstLine="0"/>
        <w:rPr>
          <w:b/>
          <w:sz w:val="26"/>
          <w:szCs w:val="26"/>
        </w:rPr>
      </w:pPr>
    </w:p>
    <w:p w14:paraId="7D5BB736" w14:textId="77777777" w:rsidR="006A2288" w:rsidRDefault="004151BA" w:rsidP="00C12155">
      <w:pPr>
        <w:pStyle w:val="Corpo"/>
        <w:spacing w:line="240" w:lineRule="atLeast"/>
        <w:ind w:firstLine="0"/>
        <w:rPr>
          <w:b/>
          <w:szCs w:val="24"/>
        </w:rPr>
      </w:pPr>
      <w:r>
        <w:rPr>
          <w:b/>
          <w:sz w:val="26"/>
          <w:szCs w:val="26"/>
        </w:rPr>
        <w:t>4</w:t>
      </w:r>
      <w:r w:rsidR="00D75435" w:rsidRPr="00843A54">
        <w:rPr>
          <w:b/>
          <w:sz w:val="26"/>
          <w:szCs w:val="26"/>
        </w:rPr>
        <w:t xml:space="preserve">. </w:t>
      </w:r>
      <w:r w:rsidR="007A65C3" w:rsidRPr="00843A54">
        <w:rPr>
          <w:b/>
          <w:sz w:val="26"/>
          <w:szCs w:val="26"/>
        </w:rPr>
        <w:t>Resumo</w:t>
      </w:r>
      <w:r w:rsidR="00D75435" w:rsidRPr="00843A54">
        <w:rPr>
          <w:b/>
          <w:sz w:val="26"/>
          <w:szCs w:val="26"/>
        </w:rPr>
        <w:t>:</w:t>
      </w:r>
    </w:p>
    <w:p w14:paraId="42908110" w14:textId="6BC3AAC0" w:rsidR="006A2288" w:rsidRDefault="006A2288" w:rsidP="00EF44F7">
      <w:pPr>
        <w:jc w:val="both"/>
      </w:pPr>
    </w:p>
    <w:p w14:paraId="4C7A791E" w14:textId="4ED0A55C" w:rsidR="008756EE" w:rsidRPr="00C90B3E" w:rsidRDefault="008756EE" w:rsidP="00EF44F7">
      <w:pPr>
        <w:jc w:val="both"/>
      </w:pPr>
      <w:r>
        <w:t xml:space="preserve"> </w:t>
      </w:r>
      <w:r>
        <w:tab/>
        <w:t>O exame do PL nº 4.054, de 2019, revela sua INCOMPATIBILIDADE com a legislação pertinente, relativamente aos seus aspectos financeiro e orçamentário.</w:t>
      </w:r>
    </w:p>
    <w:p w14:paraId="3CB412C3" w14:textId="77777777" w:rsidR="006A2288" w:rsidRPr="00C90B3E" w:rsidRDefault="006A2288" w:rsidP="00C90B3E">
      <w:pPr>
        <w:jc w:val="both"/>
      </w:pPr>
    </w:p>
    <w:p w14:paraId="63409569" w14:textId="61F7EBAE" w:rsidR="006A2288" w:rsidRDefault="00D75435">
      <w:pPr>
        <w:tabs>
          <w:tab w:val="left" w:pos="1134"/>
        </w:tabs>
        <w:spacing w:after="120"/>
        <w:jc w:val="right"/>
        <w:rPr>
          <w:rFonts w:ascii="Times New Roman" w:eastAsia="Arial" w:hAnsi="Times New Roman" w:cs="Arial"/>
          <w:szCs w:val="20"/>
          <w:lang w:eastAsia="ar-SA"/>
        </w:rPr>
      </w:pPr>
      <w:r>
        <w:rPr>
          <w:rFonts w:ascii="Times New Roman" w:eastAsia="Arial" w:hAnsi="Times New Roman" w:cs="Arial"/>
          <w:szCs w:val="20"/>
          <w:lang w:eastAsia="ar-SA"/>
        </w:rPr>
        <w:t>Brasília, 10 de agosto de 2021.</w:t>
      </w:r>
    </w:p>
    <w:p w14:paraId="7A5FE818" w14:textId="77777777" w:rsidR="00E07718" w:rsidRDefault="00E07718" w:rsidP="00E07718">
      <w:pPr>
        <w:jc w:val="center"/>
        <w:rPr>
          <w:rFonts w:cs="Arial"/>
          <w:b/>
        </w:rPr>
      </w:pPr>
      <w:r w:rsidRPr="00100EF1">
        <w:rPr>
          <w:rFonts w:cs="Arial"/>
          <w:b/>
        </w:rPr>
        <w:t>Edson Martins de Morais</w:t>
      </w:r>
    </w:p>
    <w:p w14:paraId="4C57D754" w14:textId="77777777" w:rsidR="006A2288" w:rsidRDefault="00EC245D" w:rsidP="00E07718">
      <w:pPr>
        <w:jc w:val="center"/>
        <w:rPr>
          <w:rFonts w:ascii="Times New Roman" w:hAnsi="Times New Roman" w:cs="Times New Roman"/>
          <w:b/>
        </w:rPr>
      </w:pPr>
      <w:r w:rsidRPr="00343226">
        <w:rPr>
          <w:rFonts w:cs="Arial"/>
        </w:rPr>
        <w:t>Consultor</w:t>
      </w:r>
      <w:r w:rsidR="00E07718">
        <w:rPr>
          <w:rFonts w:cs="Arial"/>
        </w:rPr>
        <w:t xml:space="preserve"> de Orçamento e Fiscalização Financeira</w:t>
      </w:r>
    </w:p>
    <w:sectPr w:rsidR="006A2288" w:rsidSect="00D87395">
      <w:headerReference w:type="default" r:id="rId8"/>
      <w:pgSz w:w="11906" w:h="16838"/>
      <w:pgMar w:top="2702" w:right="1134" w:bottom="1134" w:left="1134" w:header="1134" w:footer="0" w:gutter="0"/>
      <w:cols w:space="720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0CB19B" w14:textId="77777777" w:rsidR="002C689B" w:rsidRDefault="002C689B">
      <w:r>
        <w:separator/>
      </w:r>
    </w:p>
  </w:endnote>
  <w:endnote w:type="continuationSeparator" w:id="0">
    <w:p w14:paraId="09CF54B6" w14:textId="77777777" w:rsidR="002C689B" w:rsidRDefault="002C6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DA202C" w14:textId="77777777" w:rsidR="002C689B" w:rsidRDefault="002C689B">
      <w:r>
        <w:separator/>
      </w:r>
    </w:p>
  </w:footnote>
  <w:footnote w:type="continuationSeparator" w:id="0">
    <w:p w14:paraId="4D0DB001" w14:textId="77777777" w:rsidR="002C689B" w:rsidRDefault="002C689B">
      <w:r>
        <w:continuationSeparator/>
      </w:r>
    </w:p>
  </w:footnote>
  <w:footnote w:id="1">
    <w:p w14:paraId="0ECF135E" w14:textId="77777777" w:rsidR="0006757E" w:rsidRDefault="0006757E" w:rsidP="00CC78A5">
      <w:pPr>
        <w:pStyle w:val="Textodenotaderodap"/>
        <w:jc w:val="both"/>
      </w:pPr>
      <w:r>
        <w:rPr>
          <w:rStyle w:val="Refdenotaderodap"/>
        </w:rPr>
        <w:footnoteRef/>
      </w:r>
      <w:r>
        <w:t xml:space="preserve"> </w:t>
      </w:r>
      <w:r w:rsidR="00CC78A5">
        <w:t xml:space="preserve">Solicitação de Trabalho </w:t>
      </w:r>
      <w:r w:rsidR="00907592">
        <w:t>da</w:t>
      </w:r>
      <w:r>
        <w:t xml:space="preserve"> Secretaria da Comissão de Finanças e Tributação para atender ao disposto no art. 10-A da Norma Interna da CFT.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9433D5" w14:textId="77777777" w:rsidR="006A2288" w:rsidRDefault="006A2288">
    <w:pPr>
      <w:pStyle w:val="Cabealho"/>
    </w:pPr>
  </w:p>
  <w:tbl>
    <w:tblPr>
      <w:tblW w:w="0" w:type="auto"/>
      <w:tblInd w:w="-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11"/>
      <w:gridCol w:w="7225"/>
    </w:tblGrid>
    <w:tr w:rsidR="00FE2418" w14:paraId="2B44D13E" w14:textId="77777777" w:rsidTr="00A14321">
      <w:trPr>
        <w:trHeight w:val="733"/>
      </w:trPr>
      <w:tc>
        <w:tcPr>
          <w:tcW w:w="2511" w:type="dxa"/>
          <w:shd w:val="clear" w:color="auto" w:fill="0000FF"/>
        </w:tcPr>
        <w:p w14:paraId="5C957B59" w14:textId="77777777" w:rsidR="00FE2418" w:rsidRDefault="00FE2418">
          <w:pPr>
            <w:pStyle w:val="TabeladCabeaLinha"/>
            <w:ind w:left="0" w:right="0"/>
            <w:jc w:val="both"/>
          </w:pPr>
          <w:r>
            <w:rPr>
              <w:noProof/>
              <w:lang w:eastAsia="pt-BR" w:bidi="ar-SA"/>
            </w:rPr>
            <w:drawing>
              <wp:inline distT="0" distB="0" distL="0" distR="0" wp14:anchorId="7AB3E962" wp14:editId="630D42F8">
                <wp:extent cx="1564005" cy="431800"/>
                <wp:effectExtent l="0" t="0" r="0" b="0"/>
                <wp:docPr id="5" name="Pictu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4005" cy="431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9" w:type="dxa"/>
          <w:shd w:val="clear" w:color="auto" w:fill="auto"/>
          <w:tcMar>
            <w:left w:w="108" w:type="dxa"/>
            <w:right w:w="108" w:type="dxa"/>
          </w:tcMar>
          <w:vAlign w:val="center"/>
        </w:tcPr>
        <w:p w14:paraId="6DA9EF0E" w14:textId="094757F9" w:rsidR="00FE2418" w:rsidRPr="00843A54" w:rsidRDefault="00FE2418" w:rsidP="00280F3B">
          <w:pPr>
            <w:pStyle w:val="TabeladCabeaLinha"/>
            <w:ind w:left="0"/>
            <w:jc w:val="center"/>
            <w:rPr>
              <w:rFonts w:cs="Arial"/>
              <w:color w:val="FFFFFF"/>
              <w:sz w:val="22"/>
              <w:szCs w:val="22"/>
            </w:rPr>
          </w:pPr>
          <w:r w:rsidRPr="00843A54">
            <w:rPr>
              <w:rFonts w:cs="Arial"/>
              <w:color w:val="auto"/>
              <w:sz w:val="22"/>
              <w:szCs w:val="22"/>
            </w:rPr>
            <w:t>INFORMATIVO DE ADEQUAÇÃO</w:t>
          </w:r>
          <w:r w:rsidR="00280F3B" w:rsidRPr="00843A54">
            <w:rPr>
              <w:rFonts w:cs="Arial"/>
              <w:color w:val="auto"/>
              <w:sz w:val="22"/>
              <w:szCs w:val="22"/>
            </w:rPr>
            <w:t xml:space="preserve"> FINANCEIRA E ORÇAMENTÁRIA</w:t>
          </w:r>
          <w:r w:rsidR="008C3584" w:rsidRPr="00843A54">
            <w:rPr>
              <w:rFonts w:cs="Arial"/>
              <w:color w:val="auto"/>
              <w:sz w:val="22"/>
              <w:szCs w:val="22"/>
            </w:rPr>
            <w:t xml:space="preserve"> Nº</w:t>
          </w:r>
          <w:r w:rsidRPr="00843A54">
            <w:rPr>
              <w:rFonts w:cs="Arial"/>
              <w:color w:val="auto"/>
              <w:sz w:val="22"/>
              <w:szCs w:val="22"/>
            </w:rPr>
            <w:t xml:space="preserve"> </w:t>
          </w:r>
          <w:r w:rsidR="00823512">
            <w:rPr>
              <w:rFonts w:cs="Arial"/>
              <w:color w:val="auto"/>
              <w:sz w:val="22"/>
              <w:szCs w:val="22"/>
            </w:rPr>
            <w:t>81/2021</w:t>
          </w:r>
          <w:r w:rsidR="00A14321" w:rsidRPr="00843A54">
            <w:rPr>
              <w:rFonts w:cs="Arial"/>
              <w:color w:val="auto"/>
              <w:sz w:val="22"/>
              <w:szCs w:val="22"/>
            </w:rPr>
            <w:t xml:space="preserve"> </w:t>
          </w:r>
        </w:p>
      </w:tc>
    </w:tr>
  </w:tbl>
  <w:p w14:paraId="0A1BF365" w14:textId="77777777" w:rsidR="006A2288" w:rsidRDefault="006A228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7C410C"/>
    <w:multiLevelType w:val="hybridMultilevel"/>
    <w:tmpl w:val="387A081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288"/>
    <w:rsid w:val="00065971"/>
    <w:rsid w:val="0006757E"/>
    <w:rsid w:val="000A694C"/>
    <w:rsid w:val="000B06FF"/>
    <w:rsid w:val="001929F0"/>
    <w:rsid w:val="001A2EE7"/>
    <w:rsid w:val="001E128F"/>
    <w:rsid w:val="00257F6A"/>
    <w:rsid w:val="00280F3B"/>
    <w:rsid w:val="002C689B"/>
    <w:rsid w:val="00343226"/>
    <w:rsid w:val="00386371"/>
    <w:rsid w:val="004151BA"/>
    <w:rsid w:val="004E1835"/>
    <w:rsid w:val="00545A0B"/>
    <w:rsid w:val="00612977"/>
    <w:rsid w:val="006562E7"/>
    <w:rsid w:val="006A2288"/>
    <w:rsid w:val="007A65C3"/>
    <w:rsid w:val="007B49A6"/>
    <w:rsid w:val="00815AD5"/>
    <w:rsid w:val="00823512"/>
    <w:rsid w:val="00843A54"/>
    <w:rsid w:val="008756EE"/>
    <w:rsid w:val="0088650D"/>
    <w:rsid w:val="008C1EE0"/>
    <w:rsid w:val="008C3584"/>
    <w:rsid w:val="008E17A5"/>
    <w:rsid w:val="00907592"/>
    <w:rsid w:val="009627CB"/>
    <w:rsid w:val="00A14321"/>
    <w:rsid w:val="00A173AF"/>
    <w:rsid w:val="00B26B45"/>
    <w:rsid w:val="00B56334"/>
    <w:rsid w:val="00BC72CE"/>
    <w:rsid w:val="00C12155"/>
    <w:rsid w:val="00C90B3E"/>
    <w:rsid w:val="00CC78A5"/>
    <w:rsid w:val="00CD6D08"/>
    <w:rsid w:val="00D75435"/>
    <w:rsid w:val="00D87395"/>
    <w:rsid w:val="00DD1392"/>
    <w:rsid w:val="00E07718"/>
    <w:rsid w:val="00EC245D"/>
    <w:rsid w:val="00EF44F7"/>
    <w:rsid w:val="00F13CEC"/>
    <w:rsid w:val="00FE2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5D98343"/>
  <w15:docId w15:val="{9914510E-DA39-4145-AD38-BC34C88F7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Droid Sans Fallback" w:hAnsi="Liberation Serif" w:cs="FreeSans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87395"/>
    <w:pPr>
      <w:widowControl w:val="0"/>
      <w:suppressAutoHyphens/>
    </w:pPr>
    <w:rPr>
      <w:color w:val="00000A"/>
    </w:rPr>
  </w:style>
  <w:style w:type="paragraph" w:styleId="Ttulo1">
    <w:name w:val="heading 1"/>
    <w:basedOn w:val="Ttulo"/>
    <w:rsid w:val="00D87395"/>
    <w:pPr>
      <w:outlineLvl w:val="0"/>
    </w:pPr>
    <w:rPr>
      <w:b/>
      <w:bCs/>
      <w:sz w:val="36"/>
      <w:szCs w:val="36"/>
    </w:rPr>
  </w:style>
  <w:style w:type="paragraph" w:styleId="Ttulo2">
    <w:name w:val="heading 2"/>
    <w:basedOn w:val="Ttulo"/>
    <w:rsid w:val="00D87395"/>
    <w:p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Ttulo"/>
    <w:rsid w:val="00D87395"/>
    <w:pPr>
      <w:spacing w:before="140"/>
      <w:outlineLvl w:val="2"/>
    </w:pPr>
    <w:rPr>
      <w:b/>
      <w:bCs/>
      <w:color w:val="8080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otexto"/>
    <w:rsid w:val="00D87395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Corpodotexto">
    <w:name w:val="Corpo do texto"/>
    <w:basedOn w:val="Normal"/>
    <w:rsid w:val="00D87395"/>
    <w:pPr>
      <w:spacing w:after="140" w:line="288" w:lineRule="auto"/>
    </w:pPr>
  </w:style>
  <w:style w:type="paragraph" w:styleId="Lista">
    <w:name w:val="List"/>
    <w:basedOn w:val="Corpodotexto"/>
    <w:rsid w:val="00D87395"/>
  </w:style>
  <w:style w:type="paragraph" w:styleId="Legenda">
    <w:name w:val="caption"/>
    <w:basedOn w:val="Normal"/>
    <w:rsid w:val="00D87395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D87395"/>
    <w:pPr>
      <w:suppressLineNumbers/>
    </w:pPr>
  </w:style>
  <w:style w:type="paragraph" w:customStyle="1" w:styleId="Corpo">
    <w:name w:val="Corpo"/>
    <w:rsid w:val="00D87395"/>
    <w:pPr>
      <w:suppressAutoHyphens/>
      <w:overflowPunct w:val="0"/>
      <w:ind w:firstLine="709"/>
      <w:jc w:val="both"/>
    </w:pPr>
    <w:rPr>
      <w:rFonts w:ascii="Times New Roman" w:eastAsia="Arial" w:hAnsi="Times New Roman" w:cs="Times New Roman"/>
      <w:color w:val="000000"/>
      <w:szCs w:val="20"/>
      <w:lang w:eastAsia="ar-SA" w:bidi="ar-SA"/>
    </w:rPr>
  </w:style>
  <w:style w:type="paragraph" w:styleId="PargrafodaLista">
    <w:name w:val="List Paragraph"/>
    <w:basedOn w:val="Normal"/>
    <w:rsid w:val="00D87395"/>
    <w:pPr>
      <w:spacing w:after="200"/>
      <w:ind w:left="720"/>
      <w:contextualSpacing/>
    </w:pPr>
  </w:style>
  <w:style w:type="paragraph" w:customStyle="1" w:styleId="Corpodetexto2">
    <w:name w:val="Corpo de texto2"/>
    <w:rsid w:val="00D87395"/>
    <w:pPr>
      <w:suppressAutoHyphens/>
      <w:overflowPunct w:val="0"/>
    </w:pPr>
    <w:rPr>
      <w:rFonts w:ascii="CG Times" w:eastAsia="Times New Roman" w:hAnsi="CG Times" w:cs="Times New Roman"/>
      <w:color w:val="000000"/>
      <w:szCs w:val="20"/>
      <w:lang w:val="en-US" w:eastAsia="pt-BR" w:bidi="ar-SA"/>
    </w:rPr>
  </w:style>
  <w:style w:type="paragraph" w:customStyle="1" w:styleId="Citaes">
    <w:name w:val="Citações"/>
    <w:basedOn w:val="Normal"/>
    <w:rsid w:val="00D87395"/>
    <w:pPr>
      <w:spacing w:after="283"/>
      <w:ind w:left="567" w:right="567"/>
    </w:pPr>
  </w:style>
  <w:style w:type="paragraph" w:customStyle="1" w:styleId="Ttulododocumento">
    <w:name w:val="Título do documento"/>
    <w:basedOn w:val="Ttulo"/>
    <w:rsid w:val="00D87395"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Ttulo"/>
    <w:rsid w:val="00D87395"/>
    <w:pPr>
      <w:spacing w:before="60"/>
      <w:jc w:val="center"/>
    </w:pPr>
    <w:rPr>
      <w:sz w:val="36"/>
      <w:szCs w:val="36"/>
    </w:rPr>
  </w:style>
  <w:style w:type="paragraph" w:customStyle="1" w:styleId="Contedodatabela">
    <w:name w:val="Conteúdo da tabela"/>
    <w:basedOn w:val="Normal"/>
    <w:rsid w:val="00D87395"/>
    <w:pPr>
      <w:suppressLineNumbers/>
    </w:pPr>
  </w:style>
  <w:style w:type="paragraph" w:styleId="Cabealho">
    <w:name w:val="header"/>
    <w:basedOn w:val="Normal"/>
    <w:rsid w:val="00D87395"/>
  </w:style>
  <w:style w:type="paragraph" w:customStyle="1" w:styleId="TabeladCabeaLinha">
    <w:name w:val="Tabela (d) Cabeça Linha"/>
    <w:rsid w:val="00D87395"/>
    <w:pPr>
      <w:suppressAutoHyphens/>
      <w:ind w:left="57" w:right="57"/>
    </w:pPr>
    <w:rPr>
      <w:rFonts w:ascii="Arial Narrow" w:hAnsi="Arial Narrow"/>
      <w:b/>
      <w:color w:val="000000"/>
    </w:rPr>
  </w:style>
  <w:style w:type="paragraph" w:styleId="Rodap">
    <w:name w:val="footer"/>
    <w:basedOn w:val="Normal"/>
    <w:link w:val="RodapChar"/>
    <w:uiPriority w:val="99"/>
    <w:unhideWhenUsed/>
    <w:rsid w:val="00D75435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D75435"/>
    <w:rPr>
      <w:rFonts w:cs="Mangal"/>
      <w:color w:val="00000A"/>
      <w:szCs w:val="21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A14321"/>
    <w:rPr>
      <w:rFonts w:cs="Mangal"/>
      <w:sz w:val="20"/>
      <w:szCs w:val="18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A14321"/>
    <w:rPr>
      <w:rFonts w:cs="Mangal"/>
      <w:color w:val="00000A"/>
      <w:sz w:val="20"/>
      <w:szCs w:val="18"/>
    </w:rPr>
  </w:style>
  <w:style w:type="character" w:styleId="Refdenotadefim">
    <w:name w:val="endnote reference"/>
    <w:basedOn w:val="Fontepargpadro"/>
    <w:uiPriority w:val="99"/>
    <w:semiHidden/>
    <w:unhideWhenUsed/>
    <w:rsid w:val="00A14321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6757E"/>
    <w:rPr>
      <w:rFonts w:cs="Mangal"/>
      <w:sz w:val="20"/>
      <w:szCs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6757E"/>
    <w:rPr>
      <w:rFonts w:cs="Mangal"/>
      <w:color w:val="00000A"/>
      <w:sz w:val="20"/>
      <w:szCs w:val="18"/>
    </w:rPr>
  </w:style>
  <w:style w:type="character" w:styleId="Refdenotaderodap">
    <w:name w:val="footnote reference"/>
    <w:basedOn w:val="Fontepargpadro"/>
    <w:uiPriority w:val="99"/>
    <w:semiHidden/>
    <w:unhideWhenUsed/>
    <w:rsid w:val="0006757E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51B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51BA"/>
    <w:rPr>
      <w:rFonts w:ascii="Tahoma" w:hAnsi="Tahoma" w:cs="Mangal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0D60A-A46D-45C3-A627-E52D63A21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MOD.CONOF.ST 1465/2021 - P_6425 - Edson Martins de Morais</dc:creator>
  <cp:lastModifiedBy>Geraldo de Souza Fagundes</cp:lastModifiedBy>
  <cp:revision>2</cp:revision>
  <dcterms:created xsi:type="dcterms:W3CDTF">2021-08-17T18:07:00Z</dcterms:created>
  <dcterms:modified xsi:type="dcterms:W3CDTF">2021-08-17T18:07:00Z</dcterms:modified>
  <dc:language>pt-BR</dc:language>
</cp:coreProperties>
</file>