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638"/>
      </w:tblGrid>
      <w:tr w:rsidR="00AF6EC3">
        <w:tc>
          <w:tcPr>
            <w:tcW w:w="9638" w:type="dxa"/>
            <w:shd w:val="clear" w:color="auto" w:fill="DDDDDD"/>
            <w:tcMar>
              <w:left w:w="51" w:type="dxa"/>
            </w:tcMar>
          </w:tcPr>
          <w:p w:rsidR="00AF6EC3" w:rsidRDefault="00AF6EC3">
            <w:pPr>
              <w:shd w:val="clear" w:color="auto" w:fill="D9D9D9"/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aps/>
                <w:shd w:val="clear" w:color="auto" w:fill="DDDDDD"/>
              </w:rPr>
              <w:t>Projeto de Decreto Legislativo</w:t>
            </w:r>
            <w:r>
              <w:rPr>
                <w:rFonts w:ascii="Times New Roman" w:hAnsi="Times New Roman" w:cs="Times New Roman"/>
                <w:b/>
                <w:shd w:val="clear" w:color="auto" w:fill="DDDDDD"/>
              </w:rPr>
              <w:t xml:space="preserve"> 1.006/2018 </w:t>
            </w:r>
            <w:r>
              <w:rPr>
                <w:rStyle w:val="Refdenotaderodap"/>
                <w:rFonts w:ascii="Times New Roman" w:hAnsi="Times New Roman"/>
                <w:b/>
                <w:shd w:val="clear" w:color="auto" w:fill="DDDDDD"/>
              </w:rPr>
              <w:footnoteReference w:id="1"/>
            </w:r>
          </w:p>
          <w:p w:rsidR="00AF6EC3" w:rsidRDefault="00AF6EC3">
            <w:pPr>
              <w:shd w:val="clear" w:color="auto" w:fill="D9D9D9"/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</w:p>
        </w:tc>
      </w:tr>
    </w:tbl>
    <w:p w:rsidR="00AF6EC3" w:rsidRDefault="00AF6EC3"/>
    <w:p w:rsidR="00AF6EC3" w:rsidRPr="00843A54" w:rsidRDefault="00AF6EC3" w:rsidP="007E7CC3">
      <w:pPr>
        <w:pStyle w:val="Corpo"/>
        <w:spacing w:line="240" w:lineRule="atLeast"/>
        <w:ind w:firstLine="0"/>
        <w:rPr>
          <w:b/>
          <w:sz w:val="26"/>
          <w:szCs w:val="26"/>
        </w:rPr>
      </w:pPr>
      <w:r w:rsidRPr="00843A54">
        <w:rPr>
          <w:b/>
          <w:sz w:val="26"/>
          <w:szCs w:val="26"/>
        </w:rPr>
        <w:t>1. Síntese da Matéria:</w:t>
      </w:r>
    </w:p>
    <w:p w:rsidR="00AF6EC3" w:rsidRPr="007E7CC3" w:rsidRDefault="00AF6EC3" w:rsidP="007E7CC3">
      <w:pPr>
        <w:spacing w:after="120"/>
        <w:jc w:val="both"/>
      </w:pPr>
      <w:r>
        <w:t xml:space="preserve">O PDC 1006/2018 </w:t>
      </w:r>
      <w:r w:rsidRPr="007E7CC3">
        <w:t>cogita sustar os efeitos da Circular SUSEP nº. 569, de 02 de maio de 2018, que dispõe sobre a operação de capitalização, as modalidades, elaboração, operação e comercialização de Títulos de Capitalização e dá outras providências.</w:t>
      </w:r>
    </w:p>
    <w:p w:rsidR="00AF6EC3" w:rsidRDefault="00AF6EC3" w:rsidP="007E7CC3">
      <w:pPr>
        <w:pStyle w:val="Corpo"/>
        <w:spacing w:line="240" w:lineRule="atLeast"/>
        <w:ind w:firstLine="0"/>
      </w:pPr>
      <w:r>
        <w:rPr>
          <w:b/>
          <w:sz w:val="26"/>
          <w:szCs w:val="26"/>
        </w:rPr>
        <w:t>2. Análise:</w:t>
      </w:r>
    </w:p>
    <w:p w:rsidR="00AF6EC3" w:rsidRDefault="00AF6EC3" w:rsidP="007E7CC3">
      <w:pPr>
        <w:jc w:val="both"/>
      </w:pPr>
      <w:r>
        <w:t>O PDC 1006/2018 apresenta dispositivos de caráter meramente normativo, não acarretando repercussão direta ou indireta na receita ou na despesa da União.</w:t>
      </w:r>
    </w:p>
    <w:p w:rsidR="00AF6EC3" w:rsidRDefault="00AF6EC3" w:rsidP="007E7CC3">
      <w:pPr>
        <w:jc w:val="both"/>
      </w:pPr>
    </w:p>
    <w:p w:rsidR="00AF6EC3" w:rsidRDefault="00AF6EC3" w:rsidP="007E7CC3">
      <w:pPr>
        <w:pStyle w:val="Corpo"/>
        <w:spacing w:line="240" w:lineRule="atLeast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3. Dispositivos Infringidos:</w:t>
      </w:r>
    </w:p>
    <w:p w:rsidR="00AF6EC3" w:rsidRDefault="00AF6EC3" w:rsidP="007E7CC3">
      <w:pPr>
        <w:jc w:val="both"/>
      </w:pPr>
      <w:r>
        <w:t>O PDC 1006/2018 não tem implicação orçamentária e financeira.</w:t>
      </w:r>
    </w:p>
    <w:p w:rsidR="00AF6EC3" w:rsidRDefault="00AF6EC3" w:rsidP="007E7CC3">
      <w:pPr>
        <w:pStyle w:val="Corpo"/>
        <w:spacing w:line="240" w:lineRule="atLeast"/>
        <w:ind w:firstLine="0"/>
        <w:rPr>
          <w:b/>
          <w:sz w:val="26"/>
          <w:szCs w:val="26"/>
        </w:rPr>
      </w:pPr>
    </w:p>
    <w:p w:rsidR="00AF6EC3" w:rsidRDefault="00AF6EC3" w:rsidP="007E7CC3">
      <w:pPr>
        <w:pStyle w:val="Corpo"/>
        <w:spacing w:line="240" w:lineRule="atLeast"/>
        <w:ind w:firstLine="0"/>
        <w:rPr>
          <w:b/>
          <w:szCs w:val="24"/>
        </w:rPr>
      </w:pPr>
      <w:r>
        <w:rPr>
          <w:b/>
          <w:sz w:val="26"/>
          <w:szCs w:val="26"/>
        </w:rPr>
        <w:t>4. Resumo:</w:t>
      </w:r>
    </w:p>
    <w:p w:rsidR="00AF6EC3" w:rsidRDefault="00AF6EC3" w:rsidP="007E7CC3">
      <w:pPr>
        <w:jc w:val="both"/>
      </w:pPr>
      <w:r>
        <w:t>O PDC 1006/2018 não representa impacto sobre as receitas e/ou despesas públicas.</w:t>
      </w:r>
    </w:p>
    <w:p w:rsidR="00AF6EC3" w:rsidRPr="00C90B3E" w:rsidRDefault="00AF6EC3" w:rsidP="007E7CC3">
      <w:pPr>
        <w:jc w:val="both"/>
      </w:pPr>
    </w:p>
    <w:p w:rsidR="00AF6EC3" w:rsidRPr="00C90B3E" w:rsidRDefault="00AF6EC3" w:rsidP="007E7CC3">
      <w:pPr>
        <w:jc w:val="both"/>
      </w:pPr>
    </w:p>
    <w:p w:rsidR="00AF6EC3" w:rsidRDefault="00AF6EC3" w:rsidP="007E7CC3">
      <w:pPr>
        <w:tabs>
          <w:tab w:val="left" w:pos="1134"/>
        </w:tabs>
        <w:spacing w:after="120"/>
        <w:jc w:val="right"/>
        <w:rPr>
          <w:rFonts w:ascii="Times New Roman" w:hAnsi="Times New Roman" w:cs="Arial"/>
          <w:szCs w:val="20"/>
          <w:lang w:eastAsia="ar-SA" w:bidi="ar-SA"/>
        </w:rPr>
      </w:pPr>
      <w:r>
        <w:rPr>
          <w:rFonts w:ascii="Times New Roman" w:hAnsi="Times New Roman" w:cs="Arial"/>
          <w:szCs w:val="20"/>
          <w:lang w:eastAsia="ar-SA" w:bidi="ar-SA"/>
        </w:rPr>
        <w:t>Brasília, 10 de agosto de 2021.</w:t>
      </w:r>
    </w:p>
    <w:p w:rsidR="00AF6EC3" w:rsidRDefault="00AF6EC3" w:rsidP="007E7CC3">
      <w:pPr>
        <w:jc w:val="center"/>
        <w:rPr>
          <w:rFonts w:ascii="Times New Roman" w:hAnsi="Times New Roman" w:cs="Times New Roman"/>
          <w:b/>
        </w:rPr>
      </w:pPr>
    </w:p>
    <w:p w:rsidR="00AF6EC3" w:rsidRDefault="00AF6EC3" w:rsidP="007E7CC3">
      <w:pPr>
        <w:jc w:val="center"/>
        <w:rPr>
          <w:rFonts w:cs="Arial"/>
          <w:b/>
        </w:rPr>
      </w:pPr>
      <w:r w:rsidRPr="00100EF1">
        <w:rPr>
          <w:rFonts w:cs="Arial"/>
          <w:b/>
        </w:rPr>
        <w:t xml:space="preserve">Antonio Carlos Costa </w:t>
      </w:r>
      <w:r>
        <w:rPr>
          <w:rFonts w:cs="Arial"/>
          <w:b/>
        </w:rPr>
        <w:t>d'Á</w:t>
      </w:r>
      <w:r w:rsidRPr="00100EF1">
        <w:rPr>
          <w:rFonts w:cs="Arial"/>
          <w:b/>
        </w:rPr>
        <w:t>vila Carvalho Junior</w:t>
      </w:r>
    </w:p>
    <w:p w:rsidR="00AF6EC3" w:rsidRPr="00EC6E1A" w:rsidRDefault="00AF6EC3" w:rsidP="007E7CC3">
      <w:pPr>
        <w:jc w:val="center"/>
        <w:rPr>
          <w:rFonts w:ascii="Times New Roman" w:hAnsi="Times New Roman" w:cs="Times New Roman"/>
          <w:b/>
          <w:color w:val="auto"/>
        </w:rPr>
      </w:pPr>
      <w:r w:rsidRPr="00EC6E1A">
        <w:rPr>
          <w:rFonts w:cs="Arial"/>
          <w:color w:val="auto"/>
        </w:rPr>
        <w:t>Consultor de Orçamento e Fiscalização Financeira</w:t>
      </w:r>
    </w:p>
    <w:p w:rsidR="00AF6EC3" w:rsidRDefault="00AF6EC3" w:rsidP="007E7CC3">
      <w:pPr>
        <w:pStyle w:val="Corpo"/>
        <w:spacing w:line="240" w:lineRule="atLeast"/>
        <w:ind w:firstLine="0"/>
      </w:pPr>
    </w:p>
    <w:sectPr w:rsidR="00AF6EC3" w:rsidSect="00D87395">
      <w:headerReference w:type="default" r:id="rId6"/>
      <w:pgSz w:w="11906" w:h="16838"/>
      <w:pgMar w:top="2702" w:right="1134" w:bottom="1134" w:left="1134" w:header="1134" w:footer="0" w:gutter="0"/>
      <w:cols w:space="720"/>
      <w:formProt w:val="0"/>
      <w:rtlGutter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8C6" w:rsidRDefault="00EA38C6">
      <w:r>
        <w:separator/>
      </w:r>
    </w:p>
  </w:endnote>
  <w:endnote w:type="continuationSeparator" w:id="0">
    <w:p w:rsidR="00EA38C6" w:rsidRDefault="00EA3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8C6" w:rsidRDefault="00EA38C6">
      <w:r>
        <w:separator/>
      </w:r>
    </w:p>
  </w:footnote>
  <w:footnote w:type="continuationSeparator" w:id="0">
    <w:p w:rsidR="00EA38C6" w:rsidRDefault="00EA38C6">
      <w:r>
        <w:continuationSeparator/>
      </w:r>
    </w:p>
  </w:footnote>
  <w:footnote w:id="1">
    <w:p w:rsidR="00AF6EC3" w:rsidRDefault="00AF6EC3" w:rsidP="00CC78A5">
      <w:pPr>
        <w:pStyle w:val="Textodenotaderodap"/>
        <w:jc w:val="both"/>
      </w:pPr>
      <w:r>
        <w:rPr>
          <w:rStyle w:val="Refdenotaderodap"/>
          <w:rFonts w:cs="Mangal"/>
        </w:rPr>
        <w:footnoteRef/>
      </w:r>
      <w:r>
        <w:t xml:space="preserve"> Solicitação de Trabalho da Secretaria da Comissão de Finanças e Tributação para atender ao disposto no art. 10-A da Norma Interna da CFT.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6EC3" w:rsidRDefault="00AF6EC3">
    <w:pPr>
      <w:pStyle w:val="Cabealho"/>
    </w:pPr>
  </w:p>
  <w:tbl>
    <w:tblPr>
      <w:tblW w:w="0" w:type="auto"/>
      <w:tblInd w:w="-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511"/>
      <w:gridCol w:w="7239"/>
    </w:tblGrid>
    <w:tr w:rsidR="00AF6EC3" w:rsidTr="00A14321">
      <w:trPr>
        <w:trHeight w:val="733"/>
      </w:trPr>
      <w:tc>
        <w:tcPr>
          <w:tcW w:w="2511" w:type="dxa"/>
          <w:tcBorders>
            <w:top w:val="single" w:sz="4" w:space="0" w:color="auto"/>
            <w:bottom w:val="single" w:sz="4" w:space="0" w:color="auto"/>
          </w:tcBorders>
          <w:shd w:val="clear" w:color="auto" w:fill="0000FF"/>
        </w:tcPr>
        <w:p w:rsidR="00AF6EC3" w:rsidRDefault="00076A0C">
          <w:pPr>
            <w:pStyle w:val="TabeladCabeaLinha"/>
            <w:ind w:left="0" w:right="0"/>
            <w:jc w:val="both"/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557655" cy="431800"/>
                <wp:effectExtent l="0" t="0" r="4445" b="6350"/>
                <wp:docPr id="1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7655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9" w:type="dxa"/>
          <w:tcBorders>
            <w:top w:val="single" w:sz="4" w:space="0" w:color="auto"/>
            <w:bottom w:val="single" w:sz="4" w:space="0" w:color="auto"/>
          </w:tcBorders>
          <w:tcMar>
            <w:left w:w="108" w:type="dxa"/>
            <w:right w:w="108" w:type="dxa"/>
          </w:tcMar>
          <w:vAlign w:val="center"/>
        </w:tcPr>
        <w:p w:rsidR="00AF6EC3" w:rsidRPr="00843A54" w:rsidRDefault="00AF6EC3" w:rsidP="00280F3B">
          <w:pPr>
            <w:pStyle w:val="TabeladCabeaLinha"/>
            <w:ind w:left="0"/>
            <w:jc w:val="center"/>
            <w:rPr>
              <w:rFonts w:cs="Arial"/>
              <w:color w:val="FFFFFF"/>
              <w:sz w:val="22"/>
              <w:szCs w:val="22"/>
            </w:rPr>
          </w:pPr>
          <w:r w:rsidRPr="00843A54">
            <w:rPr>
              <w:rFonts w:cs="Arial"/>
              <w:color w:val="auto"/>
              <w:sz w:val="22"/>
              <w:szCs w:val="22"/>
            </w:rPr>
            <w:t>INFORMATIVO DE ADEQUAÇÃO FINANCEIRA E ORÇAMENTÁRIA Nº</w:t>
          </w:r>
          <w:r>
            <w:rPr>
              <w:rFonts w:cs="Arial"/>
              <w:color w:val="auto"/>
              <w:sz w:val="22"/>
              <w:szCs w:val="22"/>
            </w:rPr>
            <w:t xml:space="preserve"> 82/2021</w:t>
          </w:r>
          <w:r w:rsidRPr="00843A54">
            <w:rPr>
              <w:rFonts w:cs="Arial"/>
              <w:color w:val="auto"/>
              <w:sz w:val="22"/>
              <w:szCs w:val="22"/>
            </w:rPr>
            <w:t xml:space="preserve">  </w:t>
          </w:r>
        </w:p>
      </w:tc>
    </w:tr>
  </w:tbl>
  <w:p w:rsidR="00AF6EC3" w:rsidRDefault="00AF6EC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288"/>
    <w:rsid w:val="00065971"/>
    <w:rsid w:val="0006757E"/>
    <w:rsid w:val="00076A0C"/>
    <w:rsid w:val="000A694C"/>
    <w:rsid w:val="000B06FF"/>
    <w:rsid w:val="00100EF1"/>
    <w:rsid w:val="001929F0"/>
    <w:rsid w:val="001A2EE7"/>
    <w:rsid w:val="00257F6A"/>
    <w:rsid w:val="00280F3B"/>
    <w:rsid w:val="00386371"/>
    <w:rsid w:val="004151BA"/>
    <w:rsid w:val="004C1BFF"/>
    <w:rsid w:val="004E1835"/>
    <w:rsid w:val="00545A0B"/>
    <w:rsid w:val="005C612F"/>
    <w:rsid w:val="00612977"/>
    <w:rsid w:val="006562E7"/>
    <w:rsid w:val="006A2288"/>
    <w:rsid w:val="007044E7"/>
    <w:rsid w:val="007A65C3"/>
    <w:rsid w:val="007B49A6"/>
    <w:rsid w:val="007E7CC3"/>
    <w:rsid w:val="00815AD5"/>
    <w:rsid w:val="00843A54"/>
    <w:rsid w:val="0088650D"/>
    <w:rsid w:val="008C1EE0"/>
    <w:rsid w:val="008C3584"/>
    <w:rsid w:val="00907592"/>
    <w:rsid w:val="009627CB"/>
    <w:rsid w:val="00A14321"/>
    <w:rsid w:val="00A173AF"/>
    <w:rsid w:val="00AF6EC3"/>
    <w:rsid w:val="00B26B45"/>
    <w:rsid w:val="00B42BF3"/>
    <w:rsid w:val="00B56334"/>
    <w:rsid w:val="00C12155"/>
    <w:rsid w:val="00C90B3E"/>
    <w:rsid w:val="00CC78A5"/>
    <w:rsid w:val="00CD6D08"/>
    <w:rsid w:val="00D75435"/>
    <w:rsid w:val="00D87395"/>
    <w:rsid w:val="00DD1392"/>
    <w:rsid w:val="00E07718"/>
    <w:rsid w:val="00E4740F"/>
    <w:rsid w:val="00EA38C6"/>
    <w:rsid w:val="00EC245D"/>
    <w:rsid w:val="00EC6E1A"/>
    <w:rsid w:val="00EF44F7"/>
    <w:rsid w:val="00FE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37332212-DC14-4DBE-89F7-C268E5FCC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roid Sans Fallback" w:hAnsi="Liberation Serif" w:cs="FreeSans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395"/>
    <w:pPr>
      <w:widowControl w:val="0"/>
      <w:suppressAutoHyphens/>
    </w:pPr>
    <w:rPr>
      <w:color w:val="00000A"/>
      <w:sz w:val="24"/>
      <w:szCs w:val="24"/>
      <w:lang w:eastAsia="zh-CN" w:bidi="hi-IN"/>
    </w:rPr>
  </w:style>
  <w:style w:type="paragraph" w:styleId="Ttulo1">
    <w:name w:val="heading 1"/>
    <w:basedOn w:val="Ttulo"/>
    <w:link w:val="Ttulo1Char"/>
    <w:uiPriority w:val="99"/>
    <w:qFormat/>
    <w:rsid w:val="00D87395"/>
    <w:pPr>
      <w:outlineLvl w:val="0"/>
    </w:pPr>
    <w:rPr>
      <w:b/>
      <w:bCs/>
      <w:sz w:val="36"/>
      <w:szCs w:val="36"/>
    </w:rPr>
  </w:style>
  <w:style w:type="paragraph" w:styleId="Ttulo2">
    <w:name w:val="heading 2"/>
    <w:basedOn w:val="Ttulo"/>
    <w:link w:val="Ttulo2Char"/>
    <w:uiPriority w:val="99"/>
    <w:qFormat/>
    <w:rsid w:val="00D87395"/>
    <w:p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Ttulo"/>
    <w:link w:val="Ttulo3Char"/>
    <w:uiPriority w:val="99"/>
    <w:qFormat/>
    <w:rsid w:val="00D87395"/>
    <w:pPr>
      <w:spacing w:before="140"/>
      <w:outlineLvl w:val="2"/>
    </w:pPr>
    <w:rPr>
      <w:b/>
      <w:bCs/>
      <w:color w:val="8080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F3CF1"/>
    <w:rPr>
      <w:rFonts w:asciiTheme="majorHAnsi" w:eastAsiaTheme="majorEastAsia" w:hAnsiTheme="majorHAnsi" w:cs="Mangal"/>
      <w:b/>
      <w:bCs/>
      <w:color w:val="00000A"/>
      <w:kern w:val="32"/>
      <w:sz w:val="32"/>
      <w:szCs w:val="29"/>
      <w:lang w:eastAsia="zh-CN" w:bidi="hi-I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F3CF1"/>
    <w:rPr>
      <w:rFonts w:asciiTheme="majorHAnsi" w:eastAsiaTheme="majorEastAsia" w:hAnsiTheme="majorHAnsi" w:cs="Mangal"/>
      <w:b/>
      <w:bCs/>
      <w:i/>
      <w:iCs/>
      <w:color w:val="00000A"/>
      <w:sz w:val="28"/>
      <w:szCs w:val="25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CF1"/>
    <w:rPr>
      <w:rFonts w:asciiTheme="majorHAnsi" w:eastAsiaTheme="majorEastAsia" w:hAnsiTheme="majorHAnsi" w:cs="Mangal"/>
      <w:b/>
      <w:bCs/>
      <w:color w:val="00000A"/>
      <w:sz w:val="26"/>
      <w:szCs w:val="23"/>
      <w:lang w:eastAsia="zh-CN" w:bidi="hi-IN"/>
    </w:rPr>
  </w:style>
  <w:style w:type="paragraph" w:styleId="Ttulo">
    <w:name w:val="Title"/>
    <w:basedOn w:val="Normal"/>
    <w:next w:val="Corpodotexto"/>
    <w:link w:val="TtuloChar"/>
    <w:uiPriority w:val="99"/>
    <w:qFormat/>
    <w:rsid w:val="00D87395"/>
    <w:pPr>
      <w:keepNext/>
      <w:spacing w:before="240" w:after="120"/>
    </w:pPr>
    <w:rPr>
      <w:rFonts w:ascii="Liberation Sans" w:hAnsi="Liberation Sans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0"/>
    <w:rsid w:val="000F3CF1"/>
    <w:rPr>
      <w:rFonts w:asciiTheme="majorHAnsi" w:eastAsiaTheme="majorEastAsia" w:hAnsiTheme="majorHAnsi" w:cs="Mangal"/>
      <w:b/>
      <w:bCs/>
      <w:color w:val="00000A"/>
      <w:kern w:val="28"/>
      <w:sz w:val="32"/>
      <w:szCs w:val="29"/>
      <w:lang w:eastAsia="zh-CN" w:bidi="hi-IN"/>
    </w:rPr>
  </w:style>
  <w:style w:type="paragraph" w:customStyle="1" w:styleId="Corpodotexto">
    <w:name w:val="Corpo do texto"/>
    <w:basedOn w:val="Normal"/>
    <w:uiPriority w:val="99"/>
    <w:rsid w:val="00D87395"/>
    <w:pPr>
      <w:spacing w:after="140" w:line="288" w:lineRule="auto"/>
    </w:pPr>
  </w:style>
  <w:style w:type="paragraph" w:styleId="Lista">
    <w:name w:val="List"/>
    <w:basedOn w:val="Corpodotexto"/>
    <w:uiPriority w:val="99"/>
    <w:rsid w:val="00D87395"/>
  </w:style>
  <w:style w:type="paragraph" w:styleId="Legenda">
    <w:name w:val="caption"/>
    <w:basedOn w:val="Normal"/>
    <w:uiPriority w:val="99"/>
    <w:qFormat/>
    <w:rsid w:val="00D87395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D87395"/>
    <w:pPr>
      <w:suppressLineNumbers/>
    </w:pPr>
  </w:style>
  <w:style w:type="paragraph" w:customStyle="1" w:styleId="Corpo">
    <w:name w:val="Corpo"/>
    <w:uiPriority w:val="99"/>
    <w:rsid w:val="00D87395"/>
    <w:pPr>
      <w:suppressAutoHyphens/>
      <w:overflowPunct w:val="0"/>
      <w:ind w:firstLine="709"/>
      <w:jc w:val="both"/>
    </w:pPr>
    <w:rPr>
      <w:rFonts w:ascii="Times New Roman" w:hAnsi="Times New Roman" w:cs="Times New Roman"/>
      <w:color w:val="000000"/>
      <w:sz w:val="24"/>
      <w:szCs w:val="20"/>
      <w:lang w:eastAsia="ar-SA"/>
    </w:rPr>
  </w:style>
  <w:style w:type="paragraph" w:styleId="PargrafodaLista">
    <w:name w:val="List Paragraph"/>
    <w:basedOn w:val="Normal"/>
    <w:uiPriority w:val="99"/>
    <w:qFormat/>
    <w:rsid w:val="00D87395"/>
    <w:pPr>
      <w:spacing w:after="200"/>
      <w:ind w:left="720"/>
      <w:contextualSpacing/>
    </w:pPr>
  </w:style>
  <w:style w:type="paragraph" w:customStyle="1" w:styleId="Corpodetexto2">
    <w:name w:val="Corpo de texto2"/>
    <w:uiPriority w:val="99"/>
    <w:rsid w:val="00D87395"/>
    <w:pPr>
      <w:suppressAutoHyphens/>
      <w:overflowPunct w:val="0"/>
    </w:pPr>
    <w:rPr>
      <w:rFonts w:ascii="CG Times" w:eastAsia="Times New Roman" w:hAnsi="CG Times" w:cs="Times New Roman"/>
      <w:color w:val="000000"/>
      <w:sz w:val="24"/>
      <w:szCs w:val="20"/>
      <w:lang w:val="en-US"/>
    </w:rPr>
  </w:style>
  <w:style w:type="paragraph" w:customStyle="1" w:styleId="Citaes">
    <w:name w:val="Citações"/>
    <w:basedOn w:val="Normal"/>
    <w:uiPriority w:val="99"/>
    <w:rsid w:val="00D87395"/>
    <w:pPr>
      <w:spacing w:after="283"/>
      <w:ind w:left="567" w:right="567"/>
    </w:pPr>
  </w:style>
  <w:style w:type="paragraph" w:customStyle="1" w:styleId="Ttulododocumento">
    <w:name w:val="Título do documento"/>
    <w:basedOn w:val="Ttulo"/>
    <w:uiPriority w:val="99"/>
    <w:rsid w:val="00D87395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"/>
    <w:link w:val="SubttuloChar"/>
    <w:uiPriority w:val="99"/>
    <w:qFormat/>
    <w:rsid w:val="00D87395"/>
    <w:pPr>
      <w:spacing w:before="60"/>
      <w:jc w:val="center"/>
    </w:pPr>
    <w:rPr>
      <w:sz w:val="36"/>
      <w:szCs w:val="36"/>
    </w:rPr>
  </w:style>
  <w:style w:type="character" w:customStyle="1" w:styleId="SubttuloChar">
    <w:name w:val="Subtítulo Char"/>
    <w:basedOn w:val="Fontepargpadro"/>
    <w:link w:val="Subttulo"/>
    <w:uiPriority w:val="11"/>
    <w:rsid w:val="000F3CF1"/>
    <w:rPr>
      <w:rFonts w:asciiTheme="majorHAnsi" w:eastAsiaTheme="majorEastAsia" w:hAnsiTheme="majorHAnsi" w:cs="Mangal"/>
      <w:color w:val="00000A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uiPriority w:val="99"/>
    <w:rsid w:val="00D87395"/>
    <w:pPr>
      <w:suppressLineNumbers/>
    </w:pPr>
  </w:style>
  <w:style w:type="paragraph" w:styleId="Cabealho">
    <w:name w:val="header"/>
    <w:basedOn w:val="Normal"/>
    <w:link w:val="CabealhoChar"/>
    <w:uiPriority w:val="99"/>
    <w:rsid w:val="00D87395"/>
  </w:style>
  <w:style w:type="character" w:customStyle="1" w:styleId="CabealhoChar">
    <w:name w:val="Cabeçalho Char"/>
    <w:basedOn w:val="Fontepargpadro"/>
    <w:link w:val="Cabealho"/>
    <w:uiPriority w:val="99"/>
    <w:semiHidden/>
    <w:rsid w:val="000F3CF1"/>
    <w:rPr>
      <w:rFonts w:cs="Mangal"/>
      <w:color w:val="00000A"/>
      <w:sz w:val="24"/>
      <w:szCs w:val="21"/>
      <w:lang w:eastAsia="zh-CN" w:bidi="hi-IN"/>
    </w:rPr>
  </w:style>
  <w:style w:type="paragraph" w:customStyle="1" w:styleId="TabeladCabeaLinha">
    <w:name w:val="Tabela (d) Cabeça Linha"/>
    <w:uiPriority w:val="99"/>
    <w:rsid w:val="00D87395"/>
    <w:pPr>
      <w:suppressAutoHyphens/>
      <w:ind w:left="57" w:right="57"/>
    </w:pPr>
    <w:rPr>
      <w:rFonts w:ascii="Arial Narrow" w:hAnsi="Arial Narrow"/>
      <w:b/>
      <w:color w:val="000000"/>
      <w:sz w:val="24"/>
      <w:szCs w:val="24"/>
      <w:lang w:eastAsia="zh-CN" w:bidi="hi-IN"/>
    </w:rPr>
  </w:style>
  <w:style w:type="paragraph" w:styleId="Rodap">
    <w:name w:val="footer"/>
    <w:basedOn w:val="Normal"/>
    <w:link w:val="RodapChar"/>
    <w:uiPriority w:val="99"/>
    <w:rsid w:val="00D75435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locked/>
    <w:rsid w:val="00D75435"/>
    <w:rPr>
      <w:rFonts w:cs="Mangal"/>
      <w:color w:val="00000A"/>
      <w:sz w:val="21"/>
      <w:szCs w:val="21"/>
    </w:rPr>
  </w:style>
  <w:style w:type="paragraph" w:styleId="Textodenotadefim">
    <w:name w:val="endnote text"/>
    <w:basedOn w:val="Normal"/>
    <w:link w:val="TextodenotadefimChar"/>
    <w:uiPriority w:val="99"/>
    <w:semiHidden/>
    <w:rsid w:val="00A14321"/>
    <w:rPr>
      <w:rFonts w:cs="Mangal"/>
      <w:sz w:val="20"/>
      <w:szCs w:val="18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locked/>
    <w:rsid w:val="00A14321"/>
    <w:rPr>
      <w:rFonts w:cs="Mangal"/>
      <w:color w:val="00000A"/>
      <w:sz w:val="18"/>
      <w:szCs w:val="18"/>
    </w:rPr>
  </w:style>
  <w:style w:type="character" w:styleId="Refdenotadefim">
    <w:name w:val="endnote reference"/>
    <w:basedOn w:val="Fontepargpadro"/>
    <w:uiPriority w:val="99"/>
    <w:semiHidden/>
    <w:rsid w:val="00A14321"/>
    <w:rPr>
      <w:rFonts w:cs="Times New Roman"/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06757E"/>
    <w:rPr>
      <w:rFonts w:cs="Mangal"/>
      <w:sz w:val="20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06757E"/>
    <w:rPr>
      <w:rFonts w:cs="Mangal"/>
      <w:color w:val="00000A"/>
      <w:sz w:val="18"/>
      <w:szCs w:val="18"/>
    </w:rPr>
  </w:style>
  <w:style w:type="character" w:styleId="Refdenotaderodap">
    <w:name w:val="footnote reference"/>
    <w:basedOn w:val="Fontepargpadro"/>
    <w:uiPriority w:val="99"/>
    <w:semiHidden/>
    <w:rsid w:val="0006757E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rsid w:val="004151B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151BA"/>
    <w:rPr>
      <w:rFonts w:ascii="Tahoma" w:hAnsi="Tahoma" w:cs="Mangal"/>
      <w:color w:val="00000A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672</Characters>
  <Application>Microsoft Office Word</Application>
  <DocSecurity>4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DECRETO LEGISLATIVO 1</vt:lpstr>
    </vt:vector>
  </TitlesOfParts>
  <Company>Câmara dos Deputados</Company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DECRETO LEGISLATIVO 1</dc:title>
  <dc:creator>MOD.CONOF.ST 1498/2021 - P_8189 - Antonio Carlos Costa D'Avila Carvalho Junior</dc:creator>
  <cp:lastModifiedBy>Geraldo de Souza Fagundes</cp:lastModifiedBy>
  <cp:revision>2</cp:revision>
  <dcterms:created xsi:type="dcterms:W3CDTF">2021-08-11T13:13:00Z</dcterms:created>
  <dcterms:modified xsi:type="dcterms:W3CDTF">2021-08-11T13:13:00Z</dcterms:modified>
</cp:coreProperties>
</file>