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638"/>
      </w:tblGrid>
      <w:tr w:rsidR="00514D9F">
        <w:tc>
          <w:tcPr>
            <w:tcW w:w="9638" w:type="dxa"/>
            <w:shd w:val="clear" w:color="auto" w:fill="DDDDDD"/>
            <w:tcMar>
              <w:left w:w="51" w:type="dxa"/>
            </w:tcMar>
          </w:tcPr>
          <w:p w:rsidR="00514D9F" w:rsidRDefault="00514D9F">
            <w:pPr>
              <w:shd w:val="clear" w:color="auto" w:fill="D9D9D9"/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aps/>
                <w:shd w:val="clear" w:color="auto" w:fill="DDDDDD"/>
              </w:rPr>
              <w:t>Projeto de Lei</w:t>
            </w:r>
            <w:r>
              <w:rPr>
                <w:rFonts w:ascii="Times New Roman" w:hAnsi="Times New Roman" w:cs="Times New Roman"/>
                <w:b/>
                <w:shd w:val="clear" w:color="auto" w:fill="DDDDDD"/>
              </w:rPr>
              <w:t xml:space="preserve"> 3.084/2019 </w:t>
            </w:r>
            <w:r>
              <w:rPr>
                <w:rStyle w:val="Refdenotaderodap"/>
                <w:rFonts w:ascii="Times New Roman" w:hAnsi="Times New Roman"/>
                <w:b/>
                <w:shd w:val="clear" w:color="auto" w:fill="DDDDDD"/>
              </w:rPr>
              <w:footnoteReference w:id="1"/>
            </w:r>
          </w:p>
          <w:p w:rsidR="00514D9F" w:rsidRDefault="00514D9F">
            <w:pPr>
              <w:shd w:val="clear" w:color="auto" w:fill="D9D9D9"/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</w:p>
        </w:tc>
      </w:tr>
    </w:tbl>
    <w:p w:rsidR="00514D9F" w:rsidRDefault="00514D9F"/>
    <w:p w:rsidR="00514D9F" w:rsidRPr="00843A54" w:rsidRDefault="00514D9F" w:rsidP="005B3170">
      <w:pPr>
        <w:pStyle w:val="Corpo"/>
        <w:spacing w:line="240" w:lineRule="atLeast"/>
        <w:ind w:firstLine="0"/>
        <w:rPr>
          <w:b/>
          <w:sz w:val="26"/>
          <w:szCs w:val="26"/>
        </w:rPr>
      </w:pPr>
      <w:r w:rsidRPr="00843A54">
        <w:rPr>
          <w:b/>
          <w:sz w:val="26"/>
          <w:szCs w:val="26"/>
        </w:rPr>
        <w:t>1. Síntese da Matéria:</w:t>
      </w:r>
    </w:p>
    <w:p w:rsidR="00514D9F" w:rsidRDefault="00514D9F" w:rsidP="00636F72">
      <w:pPr>
        <w:spacing w:after="120"/>
        <w:jc w:val="both"/>
      </w:pPr>
      <w:r>
        <w:t xml:space="preserve">O PL 3084/2019 almeja alterar a lei nº 10.522, de 19 de julho de 2002, </w:t>
      </w:r>
      <w:r w:rsidRPr="00636F72">
        <w:rPr>
          <w:i/>
          <w:iCs/>
        </w:rPr>
        <w:t>que Dispõe sobre o Cadastro Informativo dos créditos não quitados de órgãos e entidades federais e dá outras providência</w:t>
      </w:r>
      <w:r>
        <w:t>s, para restringir o rol de empresas sujeitas à averbação pré-executória de seus bens pela Fazenda Pública.</w:t>
      </w:r>
    </w:p>
    <w:p w:rsidR="00514D9F" w:rsidRDefault="00514D9F" w:rsidP="00636F72">
      <w:pPr>
        <w:spacing w:after="120"/>
        <w:jc w:val="both"/>
      </w:pPr>
      <w:r>
        <w:t>A Emenda (EMC 1 CFT) traz pequena sugestão de redação, com o objetivo de assegurar que a aplicação do disposto pelo PL 3084/2019 não seja estendido a empresas que não estejam em processo de recuperação judicial ou de falência.</w:t>
      </w:r>
    </w:p>
    <w:p w:rsidR="00514D9F" w:rsidRDefault="00514D9F" w:rsidP="00CE5BD5">
      <w:pPr>
        <w:spacing w:after="120"/>
        <w:jc w:val="both"/>
      </w:pPr>
      <w:r>
        <w:t>O Substitutivo (SBT 1 CFT) apresentado pelo relator do PL 3084/2019 incorpora a sugestão trazida pela Emenda EMC 1 - CFT.</w:t>
      </w:r>
    </w:p>
    <w:p w:rsidR="00514D9F" w:rsidRDefault="00514D9F" w:rsidP="00CE5BD5">
      <w:pPr>
        <w:spacing w:after="120"/>
        <w:jc w:val="both"/>
      </w:pPr>
      <w:r>
        <w:t>A Emenda ao Substitutivo SBT 1 CFT (ESB 1 CFT) sugere a exclusão das entidades fechadas de previdência privada do rol de entidades listadas pelo dispositivo trazido pelo substitutivo.</w:t>
      </w:r>
    </w:p>
    <w:p w:rsidR="00514D9F" w:rsidRDefault="00514D9F" w:rsidP="001D4A1A">
      <w:pPr>
        <w:spacing w:after="120"/>
        <w:jc w:val="both"/>
      </w:pPr>
      <w:r>
        <w:t>Os Substitutivos (SBT 2 CFT e SBT 3 CFT) reposicionam o dispositivo no art. 20-B da Lei nº 10.522, de 2002, com os seguintes propósitos: i) assegurar o atendimento do objetivo almejado pelo PL 3084/2019 de restringir o alcance da averbação pré-executória por Parte da Fazenda Pública aos casos de pessoas jurídicas em situação de recuperação judicial, extrajudicial, falência, liquidação ou extinção; e ii) aperfeiçoar o texto da proposição e melhorar a técnica legislativa.</w:t>
      </w:r>
    </w:p>
    <w:p w:rsidR="00514D9F" w:rsidRDefault="00514D9F" w:rsidP="005B3170">
      <w:pPr>
        <w:pStyle w:val="Corpo"/>
        <w:spacing w:line="240" w:lineRule="atLeast"/>
        <w:ind w:firstLine="0"/>
        <w:rPr>
          <w:b/>
          <w:sz w:val="26"/>
          <w:szCs w:val="26"/>
        </w:rPr>
      </w:pPr>
    </w:p>
    <w:p w:rsidR="00514D9F" w:rsidRDefault="00514D9F" w:rsidP="005B3170">
      <w:pPr>
        <w:pStyle w:val="Corpo"/>
        <w:spacing w:line="240" w:lineRule="atLeast"/>
        <w:ind w:firstLine="0"/>
      </w:pPr>
      <w:r>
        <w:rPr>
          <w:b/>
          <w:sz w:val="26"/>
          <w:szCs w:val="26"/>
        </w:rPr>
        <w:t>2. Análise:</w:t>
      </w:r>
    </w:p>
    <w:p w:rsidR="00514D9F" w:rsidRDefault="00514D9F" w:rsidP="00636F72">
      <w:pPr>
        <w:jc w:val="both"/>
      </w:pPr>
      <w:r>
        <w:t>O PL 3084/2019, a Emenda EMC 1 CFT, o Substitutivo SBT 1 CFT, a Emenda ESB 1 CFT, o Substitutivo SBT 2 CFT e o Substitutivo SBT 3 CFT apresentam dispositivos de caráter meramente normativo, não acarretando repercussão direta ou indireta na receita ou na despesa da União.</w:t>
      </w:r>
    </w:p>
    <w:p w:rsidR="00514D9F" w:rsidRDefault="00514D9F" w:rsidP="005B3170">
      <w:pPr>
        <w:jc w:val="both"/>
      </w:pPr>
    </w:p>
    <w:p w:rsidR="00514D9F" w:rsidRDefault="00514D9F" w:rsidP="005B3170">
      <w:pPr>
        <w:pStyle w:val="Corpo"/>
        <w:spacing w:line="240" w:lineRule="atLeast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3. Dispositivos Infringidos:</w:t>
      </w:r>
    </w:p>
    <w:p w:rsidR="00514D9F" w:rsidRDefault="00514D9F" w:rsidP="00636F72">
      <w:pPr>
        <w:jc w:val="both"/>
      </w:pPr>
      <w:r>
        <w:t>O PL 3084/2019, a Emenda EMC 1 CFT, o Substitutivo SBT 1 CFT, a Emenda ESB 1 CFT, o Substitutivo SBT 2 CFT e o Substitutivo SBT 3 CFT não têm implicação orçamentária e financeira.</w:t>
      </w:r>
    </w:p>
    <w:p w:rsidR="00514D9F" w:rsidRDefault="00514D9F" w:rsidP="005B3170">
      <w:pPr>
        <w:pStyle w:val="Corpo"/>
        <w:spacing w:line="240" w:lineRule="atLeast"/>
        <w:ind w:firstLine="0"/>
        <w:rPr>
          <w:b/>
          <w:sz w:val="26"/>
          <w:szCs w:val="26"/>
        </w:rPr>
      </w:pPr>
    </w:p>
    <w:p w:rsidR="00514D9F" w:rsidRDefault="00514D9F" w:rsidP="005B3170">
      <w:pPr>
        <w:pStyle w:val="Corpo"/>
        <w:spacing w:line="240" w:lineRule="atLeast"/>
        <w:ind w:firstLine="0"/>
        <w:rPr>
          <w:b/>
          <w:szCs w:val="24"/>
        </w:rPr>
      </w:pPr>
      <w:r>
        <w:rPr>
          <w:b/>
          <w:sz w:val="26"/>
          <w:szCs w:val="26"/>
        </w:rPr>
        <w:t>4. Resumo:</w:t>
      </w:r>
    </w:p>
    <w:p w:rsidR="00514D9F" w:rsidRDefault="00514D9F" w:rsidP="00636F72">
      <w:pPr>
        <w:jc w:val="both"/>
      </w:pPr>
      <w:r>
        <w:t>O PL 3084/2019, a Emenda EMC 1 CFT, o Substitutivo SBT 1 CFT, a Emenda ESB 1 CFT, o Substitutivo SBT 2 CFT e o Substitutivo SBT 3 CFT não representam impacto sobre as receitas e/ou despesas públicas.</w:t>
      </w:r>
    </w:p>
    <w:p w:rsidR="00514D9F" w:rsidRPr="00C90B3E" w:rsidRDefault="00514D9F" w:rsidP="005B3170">
      <w:pPr>
        <w:jc w:val="both"/>
      </w:pPr>
    </w:p>
    <w:p w:rsidR="00514D9F" w:rsidRDefault="00514D9F" w:rsidP="005B3170">
      <w:pPr>
        <w:tabs>
          <w:tab w:val="left" w:pos="1134"/>
        </w:tabs>
        <w:spacing w:after="120"/>
        <w:jc w:val="right"/>
        <w:rPr>
          <w:rFonts w:ascii="Times New Roman" w:hAnsi="Times New Roman" w:cs="Arial"/>
          <w:szCs w:val="20"/>
          <w:lang w:eastAsia="ar-SA" w:bidi="ar-SA"/>
        </w:rPr>
      </w:pPr>
      <w:r>
        <w:rPr>
          <w:rFonts w:ascii="Times New Roman" w:hAnsi="Times New Roman" w:cs="Arial"/>
          <w:szCs w:val="20"/>
          <w:lang w:eastAsia="ar-SA" w:bidi="ar-SA"/>
        </w:rPr>
        <w:t>Brasília, 10 de agosto de 2021.</w:t>
      </w:r>
    </w:p>
    <w:p w:rsidR="00514D9F" w:rsidRDefault="00514D9F" w:rsidP="005B3170">
      <w:pPr>
        <w:jc w:val="center"/>
        <w:rPr>
          <w:rFonts w:ascii="Times New Roman" w:hAnsi="Times New Roman" w:cs="Times New Roman"/>
          <w:b/>
        </w:rPr>
      </w:pPr>
    </w:p>
    <w:p w:rsidR="00514D9F" w:rsidRDefault="00514D9F" w:rsidP="005B3170">
      <w:pPr>
        <w:jc w:val="center"/>
        <w:rPr>
          <w:rFonts w:cs="Arial"/>
          <w:b/>
        </w:rPr>
      </w:pPr>
      <w:r w:rsidRPr="00100EF1">
        <w:rPr>
          <w:rFonts w:cs="Arial"/>
          <w:b/>
        </w:rPr>
        <w:t xml:space="preserve">Antonio Carlos Costa </w:t>
      </w:r>
      <w:r>
        <w:rPr>
          <w:rFonts w:cs="Arial"/>
          <w:b/>
        </w:rPr>
        <w:t>d'Á</w:t>
      </w:r>
      <w:r w:rsidRPr="00100EF1">
        <w:rPr>
          <w:rFonts w:cs="Arial"/>
          <w:b/>
        </w:rPr>
        <w:t>vila Carvalho Junior</w:t>
      </w:r>
    </w:p>
    <w:p w:rsidR="00514D9F" w:rsidRDefault="00514D9F" w:rsidP="00636F72">
      <w:pPr>
        <w:jc w:val="center"/>
      </w:pPr>
      <w:r w:rsidRPr="00EC6E1A">
        <w:t>Consultor de Orçamento e Fiscalização Financeira</w:t>
      </w:r>
    </w:p>
    <w:sectPr w:rsidR="00514D9F" w:rsidSect="00D87395">
      <w:headerReference w:type="default" r:id="rId6"/>
      <w:pgSz w:w="11906" w:h="16838"/>
      <w:pgMar w:top="2702" w:right="1134" w:bottom="1134" w:left="1134" w:header="1134" w:footer="0" w:gutter="0"/>
      <w:cols w:space="720"/>
      <w:formProt w:val="0"/>
      <w:rtlGutter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D9F" w:rsidRDefault="00514D9F">
      <w:r>
        <w:separator/>
      </w:r>
    </w:p>
  </w:endnote>
  <w:endnote w:type="continuationSeparator" w:id="0">
    <w:p w:rsidR="00514D9F" w:rsidRDefault="00514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D9F" w:rsidRDefault="00514D9F">
      <w:r>
        <w:separator/>
      </w:r>
    </w:p>
  </w:footnote>
  <w:footnote w:type="continuationSeparator" w:id="0">
    <w:p w:rsidR="00514D9F" w:rsidRDefault="00514D9F">
      <w:r>
        <w:continuationSeparator/>
      </w:r>
    </w:p>
  </w:footnote>
  <w:footnote w:id="1">
    <w:p w:rsidR="00514D9F" w:rsidRDefault="00514D9F" w:rsidP="00CC78A5">
      <w:pPr>
        <w:pStyle w:val="Textodenotaderodap"/>
        <w:jc w:val="both"/>
      </w:pPr>
      <w:r>
        <w:rPr>
          <w:rStyle w:val="Refdenotaderodap"/>
          <w:rFonts w:cs="Mangal"/>
        </w:rPr>
        <w:footnoteRef/>
      </w:r>
      <w:r>
        <w:t xml:space="preserve"> Solicitação de Trabalho da Secretaria da Comissão de Finanças e Tributação para atender ao disposto no art. 10-A da Norma Interna da CFT.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D9F" w:rsidRDefault="00514D9F">
    <w:pPr>
      <w:pStyle w:val="Cabealho"/>
    </w:pPr>
  </w:p>
  <w:tbl>
    <w:tblPr>
      <w:tblW w:w="0" w:type="auto"/>
      <w:tblInd w:w="-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511"/>
      <w:gridCol w:w="7239"/>
    </w:tblGrid>
    <w:tr w:rsidR="00514D9F" w:rsidTr="00A14321">
      <w:trPr>
        <w:trHeight w:val="733"/>
      </w:trPr>
      <w:tc>
        <w:tcPr>
          <w:tcW w:w="2511" w:type="dxa"/>
          <w:tcBorders>
            <w:top w:val="single" w:sz="4" w:space="0" w:color="auto"/>
            <w:bottom w:val="single" w:sz="4" w:space="0" w:color="auto"/>
          </w:tcBorders>
          <w:shd w:val="clear" w:color="auto" w:fill="0000FF"/>
        </w:tcPr>
        <w:p w:rsidR="00514D9F" w:rsidRDefault="00032E9B">
          <w:pPr>
            <w:pStyle w:val="TabeladCabeaLinha"/>
            <w:ind w:left="0" w:right="0"/>
            <w:jc w:val="both"/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552575" cy="428625"/>
                <wp:effectExtent l="0" t="0" r="9525" b="9525"/>
                <wp:docPr id="1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257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9" w:type="dxa"/>
          <w:tcBorders>
            <w:top w:val="single" w:sz="4" w:space="0" w:color="auto"/>
            <w:bottom w:val="single" w:sz="4" w:space="0" w:color="auto"/>
          </w:tcBorders>
          <w:tcMar>
            <w:left w:w="108" w:type="dxa"/>
            <w:right w:w="108" w:type="dxa"/>
          </w:tcMar>
          <w:vAlign w:val="center"/>
        </w:tcPr>
        <w:p w:rsidR="00514D9F" w:rsidRPr="00843A54" w:rsidRDefault="00514D9F" w:rsidP="00280F3B">
          <w:pPr>
            <w:pStyle w:val="TabeladCabeaLinha"/>
            <w:ind w:left="0"/>
            <w:jc w:val="center"/>
            <w:rPr>
              <w:rFonts w:cs="Arial"/>
              <w:color w:val="FFFFFF"/>
              <w:sz w:val="22"/>
              <w:szCs w:val="22"/>
            </w:rPr>
          </w:pPr>
          <w:r w:rsidRPr="00843A54">
            <w:rPr>
              <w:rFonts w:cs="Arial"/>
              <w:color w:val="auto"/>
              <w:sz w:val="22"/>
              <w:szCs w:val="22"/>
            </w:rPr>
            <w:t xml:space="preserve">INFORMATIVO DE ADEQUAÇÃO FINANCEIRA E ORÇAMENTÁRIA Nº </w:t>
          </w:r>
          <w:r>
            <w:rPr>
              <w:rFonts w:cs="Arial"/>
              <w:color w:val="auto"/>
              <w:sz w:val="22"/>
              <w:szCs w:val="22"/>
            </w:rPr>
            <w:t>83/2021</w:t>
          </w:r>
        </w:p>
      </w:tc>
    </w:tr>
  </w:tbl>
  <w:p w:rsidR="00514D9F" w:rsidRDefault="00514D9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288"/>
    <w:rsid w:val="00032E9B"/>
    <w:rsid w:val="00065971"/>
    <w:rsid w:val="0006757E"/>
    <w:rsid w:val="000A694C"/>
    <w:rsid w:val="000B06FF"/>
    <w:rsid w:val="00100EF1"/>
    <w:rsid w:val="001929F0"/>
    <w:rsid w:val="001A2EE7"/>
    <w:rsid w:val="001D4A1A"/>
    <w:rsid w:val="00257F6A"/>
    <w:rsid w:val="00280F3B"/>
    <w:rsid w:val="00386371"/>
    <w:rsid w:val="004151BA"/>
    <w:rsid w:val="004E1835"/>
    <w:rsid w:val="00514D9F"/>
    <w:rsid w:val="00545A0B"/>
    <w:rsid w:val="005B3170"/>
    <w:rsid w:val="00612977"/>
    <w:rsid w:val="00636F72"/>
    <w:rsid w:val="006562E7"/>
    <w:rsid w:val="006A2288"/>
    <w:rsid w:val="007A65C3"/>
    <w:rsid w:val="007B49A6"/>
    <w:rsid w:val="00815AD5"/>
    <w:rsid w:val="00843A54"/>
    <w:rsid w:val="0088650D"/>
    <w:rsid w:val="008C1EE0"/>
    <w:rsid w:val="008C3584"/>
    <w:rsid w:val="00907592"/>
    <w:rsid w:val="009627CB"/>
    <w:rsid w:val="00A14321"/>
    <w:rsid w:val="00A173AF"/>
    <w:rsid w:val="00B26B45"/>
    <w:rsid w:val="00B50D43"/>
    <w:rsid w:val="00B56334"/>
    <w:rsid w:val="00BD7F1C"/>
    <w:rsid w:val="00C12155"/>
    <w:rsid w:val="00C90B3E"/>
    <w:rsid w:val="00CC78A5"/>
    <w:rsid w:val="00CD6D08"/>
    <w:rsid w:val="00CE5BD5"/>
    <w:rsid w:val="00D75435"/>
    <w:rsid w:val="00D87395"/>
    <w:rsid w:val="00DD1392"/>
    <w:rsid w:val="00DF3B37"/>
    <w:rsid w:val="00E07718"/>
    <w:rsid w:val="00EC245D"/>
    <w:rsid w:val="00EC6E1A"/>
    <w:rsid w:val="00EF44F7"/>
    <w:rsid w:val="00F82F0F"/>
    <w:rsid w:val="00FE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7EAB0983-EB18-4540-820B-A4902B91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roid Sans Fallback" w:hAnsi="Liberation Serif" w:cs="FreeSans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395"/>
    <w:pPr>
      <w:widowControl w:val="0"/>
      <w:suppressAutoHyphens/>
    </w:pPr>
    <w:rPr>
      <w:color w:val="00000A"/>
      <w:sz w:val="24"/>
      <w:szCs w:val="24"/>
      <w:lang w:eastAsia="zh-CN" w:bidi="hi-IN"/>
    </w:rPr>
  </w:style>
  <w:style w:type="paragraph" w:styleId="Ttulo1">
    <w:name w:val="heading 1"/>
    <w:basedOn w:val="Ttulo"/>
    <w:link w:val="Ttulo1Char"/>
    <w:uiPriority w:val="99"/>
    <w:qFormat/>
    <w:rsid w:val="00D87395"/>
    <w:pPr>
      <w:outlineLvl w:val="0"/>
    </w:pPr>
    <w:rPr>
      <w:b/>
      <w:bCs/>
      <w:sz w:val="36"/>
      <w:szCs w:val="36"/>
    </w:rPr>
  </w:style>
  <w:style w:type="paragraph" w:styleId="Ttulo2">
    <w:name w:val="heading 2"/>
    <w:basedOn w:val="Ttulo"/>
    <w:link w:val="Ttulo2Char"/>
    <w:uiPriority w:val="99"/>
    <w:qFormat/>
    <w:rsid w:val="00D87395"/>
    <w:p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Ttulo"/>
    <w:link w:val="Ttulo3Char"/>
    <w:uiPriority w:val="99"/>
    <w:qFormat/>
    <w:rsid w:val="00D87395"/>
    <w:pPr>
      <w:spacing w:before="140"/>
      <w:outlineLvl w:val="2"/>
    </w:pPr>
    <w:rPr>
      <w:b/>
      <w:bCs/>
      <w:color w:val="8080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12726"/>
    <w:rPr>
      <w:rFonts w:asciiTheme="majorHAnsi" w:eastAsiaTheme="majorEastAsia" w:hAnsiTheme="majorHAnsi" w:cs="Mangal"/>
      <w:b/>
      <w:bCs/>
      <w:color w:val="00000A"/>
      <w:kern w:val="32"/>
      <w:sz w:val="32"/>
      <w:szCs w:val="29"/>
      <w:lang w:eastAsia="zh-CN" w:bidi="hi-I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12726"/>
    <w:rPr>
      <w:rFonts w:asciiTheme="majorHAnsi" w:eastAsiaTheme="majorEastAsia" w:hAnsiTheme="majorHAnsi" w:cs="Mangal"/>
      <w:b/>
      <w:bCs/>
      <w:i/>
      <w:iCs/>
      <w:color w:val="00000A"/>
      <w:sz w:val="28"/>
      <w:szCs w:val="25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12726"/>
    <w:rPr>
      <w:rFonts w:asciiTheme="majorHAnsi" w:eastAsiaTheme="majorEastAsia" w:hAnsiTheme="majorHAnsi" w:cs="Mangal"/>
      <w:b/>
      <w:bCs/>
      <w:color w:val="00000A"/>
      <w:sz w:val="26"/>
      <w:szCs w:val="23"/>
      <w:lang w:eastAsia="zh-CN" w:bidi="hi-IN"/>
    </w:rPr>
  </w:style>
  <w:style w:type="paragraph" w:styleId="Ttulo">
    <w:name w:val="Title"/>
    <w:basedOn w:val="Normal"/>
    <w:next w:val="Corpodotexto"/>
    <w:link w:val="TtuloChar"/>
    <w:uiPriority w:val="99"/>
    <w:qFormat/>
    <w:rsid w:val="00D87395"/>
    <w:pPr>
      <w:keepNext/>
      <w:spacing w:before="240" w:after="120"/>
    </w:pPr>
    <w:rPr>
      <w:rFonts w:ascii="Liberation Sans" w:hAnsi="Liberation Sans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0"/>
    <w:rsid w:val="00C12726"/>
    <w:rPr>
      <w:rFonts w:asciiTheme="majorHAnsi" w:eastAsiaTheme="majorEastAsia" w:hAnsiTheme="majorHAnsi" w:cs="Mangal"/>
      <w:b/>
      <w:bCs/>
      <w:color w:val="00000A"/>
      <w:kern w:val="28"/>
      <w:sz w:val="32"/>
      <w:szCs w:val="29"/>
      <w:lang w:eastAsia="zh-CN" w:bidi="hi-IN"/>
    </w:rPr>
  </w:style>
  <w:style w:type="paragraph" w:customStyle="1" w:styleId="Corpodotexto">
    <w:name w:val="Corpo do texto"/>
    <w:basedOn w:val="Normal"/>
    <w:uiPriority w:val="99"/>
    <w:rsid w:val="00D87395"/>
    <w:pPr>
      <w:spacing w:after="140" w:line="288" w:lineRule="auto"/>
    </w:pPr>
  </w:style>
  <w:style w:type="paragraph" w:styleId="Lista">
    <w:name w:val="List"/>
    <w:basedOn w:val="Corpodotexto"/>
    <w:uiPriority w:val="99"/>
    <w:rsid w:val="00D87395"/>
  </w:style>
  <w:style w:type="paragraph" w:styleId="Legenda">
    <w:name w:val="caption"/>
    <w:basedOn w:val="Normal"/>
    <w:uiPriority w:val="99"/>
    <w:qFormat/>
    <w:rsid w:val="00D87395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D87395"/>
    <w:pPr>
      <w:suppressLineNumbers/>
    </w:pPr>
  </w:style>
  <w:style w:type="paragraph" w:customStyle="1" w:styleId="Corpo">
    <w:name w:val="Corpo"/>
    <w:uiPriority w:val="99"/>
    <w:rsid w:val="00D87395"/>
    <w:pPr>
      <w:suppressAutoHyphens/>
      <w:overflowPunct w:val="0"/>
      <w:ind w:firstLine="709"/>
      <w:jc w:val="both"/>
    </w:pPr>
    <w:rPr>
      <w:rFonts w:ascii="Times New Roman" w:hAnsi="Times New Roman" w:cs="Times New Roman"/>
      <w:color w:val="000000"/>
      <w:sz w:val="24"/>
      <w:szCs w:val="20"/>
      <w:lang w:eastAsia="ar-SA"/>
    </w:rPr>
  </w:style>
  <w:style w:type="paragraph" w:styleId="PargrafodaLista">
    <w:name w:val="List Paragraph"/>
    <w:basedOn w:val="Normal"/>
    <w:uiPriority w:val="99"/>
    <w:qFormat/>
    <w:rsid w:val="00D87395"/>
    <w:pPr>
      <w:spacing w:after="200"/>
      <w:ind w:left="720"/>
      <w:contextualSpacing/>
    </w:pPr>
  </w:style>
  <w:style w:type="paragraph" w:customStyle="1" w:styleId="Corpodetexto2">
    <w:name w:val="Corpo de texto2"/>
    <w:uiPriority w:val="99"/>
    <w:rsid w:val="00D87395"/>
    <w:pPr>
      <w:suppressAutoHyphens/>
      <w:overflowPunct w:val="0"/>
    </w:pPr>
    <w:rPr>
      <w:rFonts w:ascii="CG Times" w:eastAsia="Times New Roman" w:hAnsi="CG Times" w:cs="Times New Roman"/>
      <w:color w:val="000000"/>
      <w:sz w:val="24"/>
      <w:szCs w:val="20"/>
      <w:lang w:val="en-US"/>
    </w:rPr>
  </w:style>
  <w:style w:type="paragraph" w:customStyle="1" w:styleId="Citaes">
    <w:name w:val="Citações"/>
    <w:basedOn w:val="Normal"/>
    <w:uiPriority w:val="99"/>
    <w:rsid w:val="00D87395"/>
    <w:pPr>
      <w:spacing w:after="283"/>
      <w:ind w:left="567" w:right="567"/>
    </w:pPr>
  </w:style>
  <w:style w:type="paragraph" w:customStyle="1" w:styleId="Ttulododocumento">
    <w:name w:val="Título do documento"/>
    <w:basedOn w:val="Ttulo"/>
    <w:uiPriority w:val="99"/>
    <w:rsid w:val="00D87395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"/>
    <w:link w:val="SubttuloChar"/>
    <w:uiPriority w:val="99"/>
    <w:qFormat/>
    <w:rsid w:val="00D87395"/>
    <w:pPr>
      <w:spacing w:before="60"/>
      <w:jc w:val="center"/>
    </w:pPr>
    <w:rPr>
      <w:sz w:val="36"/>
      <w:szCs w:val="36"/>
    </w:rPr>
  </w:style>
  <w:style w:type="character" w:customStyle="1" w:styleId="SubttuloChar">
    <w:name w:val="Subtítulo Char"/>
    <w:basedOn w:val="Fontepargpadro"/>
    <w:link w:val="Subttulo"/>
    <w:uiPriority w:val="11"/>
    <w:rsid w:val="00C12726"/>
    <w:rPr>
      <w:rFonts w:asciiTheme="majorHAnsi" w:eastAsiaTheme="majorEastAsia" w:hAnsiTheme="majorHAnsi" w:cs="Mangal"/>
      <w:color w:val="00000A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uiPriority w:val="99"/>
    <w:rsid w:val="00D87395"/>
    <w:pPr>
      <w:suppressLineNumbers/>
    </w:pPr>
  </w:style>
  <w:style w:type="paragraph" w:styleId="Cabealho">
    <w:name w:val="header"/>
    <w:basedOn w:val="Normal"/>
    <w:link w:val="CabealhoChar"/>
    <w:uiPriority w:val="99"/>
    <w:rsid w:val="00D87395"/>
  </w:style>
  <w:style w:type="character" w:customStyle="1" w:styleId="CabealhoChar">
    <w:name w:val="Cabeçalho Char"/>
    <w:basedOn w:val="Fontepargpadro"/>
    <w:link w:val="Cabealho"/>
    <w:uiPriority w:val="99"/>
    <w:semiHidden/>
    <w:rsid w:val="00C12726"/>
    <w:rPr>
      <w:rFonts w:cs="Mangal"/>
      <w:color w:val="00000A"/>
      <w:sz w:val="24"/>
      <w:szCs w:val="21"/>
      <w:lang w:eastAsia="zh-CN" w:bidi="hi-IN"/>
    </w:rPr>
  </w:style>
  <w:style w:type="paragraph" w:customStyle="1" w:styleId="TabeladCabeaLinha">
    <w:name w:val="Tabela (d) Cabeça Linha"/>
    <w:uiPriority w:val="99"/>
    <w:rsid w:val="00D87395"/>
    <w:pPr>
      <w:suppressAutoHyphens/>
      <w:ind w:left="57" w:right="57"/>
    </w:pPr>
    <w:rPr>
      <w:rFonts w:ascii="Arial Narrow" w:hAnsi="Arial Narrow"/>
      <w:b/>
      <w:color w:val="000000"/>
      <w:sz w:val="24"/>
      <w:szCs w:val="24"/>
      <w:lang w:eastAsia="zh-CN" w:bidi="hi-IN"/>
    </w:rPr>
  </w:style>
  <w:style w:type="paragraph" w:styleId="Rodap">
    <w:name w:val="footer"/>
    <w:basedOn w:val="Normal"/>
    <w:link w:val="RodapChar"/>
    <w:uiPriority w:val="99"/>
    <w:rsid w:val="00D75435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locked/>
    <w:rsid w:val="00D75435"/>
    <w:rPr>
      <w:rFonts w:cs="Mangal"/>
      <w:color w:val="00000A"/>
      <w:sz w:val="21"/>
      <w:szCs w:val="21"/>
    </w:rPr>
  </w:style>
  <w:style w:type="paragraph" w:styleId="Textodenotadefim">
    <w:name w:val="endnote text"/>
    <w:basedOn w:val="Normal"/>
    <w:link w:val="TextodenotadefimChar"/>
    <w:uiPriority w:val="99"/>
    <w:semiHidden/>
    <w:rsid w:val="00A14321"/>
    <w:rPr>
      <w:rFonts w:cs="Mangal"/>
      <w:sz w:val="20"/>
      <w:szCs w:val="18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locked/>
    <w:rsid w:val="00A14321"/>
    <w:rPr>
      <w:rFonts w:cs="Mangal"/>
      <w:color w:val="00000A"/>
      <w:sz w:val="18"/>
      <w:szCs w:val="18"/>
    </w:rPr>
  </w:style>
  <w:style w:type="character" w:styleId="Refdenotadefim">
    <w:name w:val="endnote reference"/>
    <w:basedOn w:val="Fontepargpadro"/>
    <w:uiPriority w:val="99"/>
    <w:semiHidden/>
    <w:rsid w:val="00A14321"/>
    <w:rPr>
      <w:rFonts w:cs="Times New Roman"/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06757E"/>
    <w:rPr>
      <w:rFonts w:cs="Mangal"/>
      <w:sz w:val="20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06757E"/>
    <w:rPr>
      <w:rFonts w:cs="Mangal"/>
      <w:color w:val="00000A"/>
      <w:sz w:val="18"/>
      <w:szCs w:val="18"/>
    </w:rPr>
  </w:style>
  <w:style w:type="character" w:styleId="Refdenotaderodap">
    <w:name w:val="footnote reference"/>
    <w:basedOn w:val="Fontepargpadro"/>
    <w:uiPriority w:val="99"/>
    <w:semiHidden/>
    <w:rsid w:val="0006757E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rsid w:val="004151B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151BA"/>
    <w:rPr>
      <w:rFonts w:ascii="Tahoma" w:hAnsi="Tahoma" w:cs="Mangal"/>
      <w:color w:val="00000A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1853</Characters>
  <Application>Microsoft Office Word</Application>
  <DocSecurity>4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3</vt:lpstr>
    </vt:vector>
  </TitlesOfParts>
  <Company>Câmara dos Deputados</Company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3</dc:title>
  <dc:subject/>
  <dc:creator>MOD.CONOF.ST 1495/2021 - P_8189 - Antonio Carlos Costa D'Avila Carvalho Junior</dc:creator>
  <cp:keywords/>
  <dc:description/>
  <cp:lastModifiedBy>Geraldo de Souza Fagundes</cp:lastModifiedBy>
  <cp:revision>2</cp:revision>
  <dcterms:created xsi:type="dcterms:W3CDTF">2021-08-11T11:59:00Z</dcterms:created>
  <dcterms:modified xsi:type="dcterms:W3CDTF">2021-08-11T11:59:00Z</dcterms:modified>
</cp:coreProperties>
</file>