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405" w:rsidRDefault="001C3405" w:rsidP="000D3C27">
      <w:pPr>
        <w:pStyle w:val="Red"/>
        <w:spacing w:before="0" w:after="0"/>
        <w:ind w:left="4500" w:firstLine="36"/>
      </w:pPr>
      <w:bookmarkStart w:id="0" w:name="_GoBack"/>
      <w:bookmarkEnd w:id="0"/>
      <w:r>
        <w:t xml:space="preserve">Emendas do Senado ao Projeto </w:t>
      </w:r>
      <w:r w:rsidR="000A5BDC">
        <w:t>de Lei de Conversão nº 3, de 2021 (Medida Provisória                             nº 1.017</w:t>
      </w:r>
      <w:r>
        <w:t>, de 20</w:t>
      </w:r>
      <w:r w:rsidR="000A5BDC">
        <w:t>20</w:t>
      </w:r>
      <w:r>
        <w:t xml:space="preserve">), que </w:t>
      </w:r>
      <w:r w:rsidR="000D3C27">
        <w:t>“</w:t>
      </w:r>
      <w:r w:rsidR="000A5BDC" w:rsidRPr="000A5BDC">
        <w:t>Define as diretrizes para a quitação e para a renegociação das dívidas relativas às debêntures emitidas por empresas e subscritas pelos fundos de investimentos regionais e para o desinvestimento, a liq</w:t>
      </w:r>
      <w:r w:rsidR="000A5BDC">
        <w:t>uidação e a extinção dos fundos</w:t>
      </w:r>
      <w:r w:rsidR="000D3C27">
        <w:rPr>
          <w:iCs/>
        </w:rPr>
        <w:t>”</w:t>
      </w:r>
      <w:r w:rsidR="000A5BDC">
        <w:rPr>
          <w:iCs/>
        </w:rPr>
        <w:t>.</w:t>
      </w:r>
    </w:p>
    <w:p w:rsidR="001C3405" w:rsidRDefault="001C3405" w:rsidP="000D3C27">
      <w:pPr>
        <w:jc w:val="both"/>
        <w:rPr>
          <w:b/>
          <w:sz w:val="26"/>
        </w:rPr>
      </w:pPr>
    </w:p>
    <w:p w:rsidR="001C3405" w:rsidRDefault="001C3405" w:rsidP="000D3C27">
      <w:pPr>
        <w:jc w:val="both"/>
        <w:rPr>
          <w:b/>
          <w:sz w:val="26"/>
        </w:rPr>
      </w:pPr>
    </w:p>
    <w:p w:rsidR="001C3405" w:rsidRDefault="001C3405" w:rsidP="000D3C27">
      <w:pPr>
        <w:jc w:val="both"/>
        <w:rPr>
          <w:b/>
          <w:sz w:val="26"/>
        </w:rPr>
      </w:pPr>
    </w:p>
    <w:p w:rsidR="001C3405" w:rsidRDefault="001C3405" w:rsidP="000D3C27">
      <w:pPr>
        <w:jc w:val="both"/>
        <w:rPr>
          <w:b/>
          <w:sz w:val="26"/>
        </w:rPr>
      </w:pPr>
    </w:p>
    <w:p w:rsidR="000D3C27" w:rsidRDefault="000D3C27" w:rsidP="000D3C27">
      <w:pPr>
        <w:jc w:val="both"/>
        <w:rPr>
          <w:b/>
          <w:sz w:val="26"/>
        </w:rPr>
      </w:pPr>
    </w:p>
    <w:p w:rsidR="000D3C27" w:rsidRDefault="000D3C27" w:rsidP="000D3C27">
      <w:pPr>
        <w:jc w:val="both"/>
        <w:rPr>
          <w:b/>
          <w:sz w:val="26"/>
        </w:rPr>
      </w:pPr>
    </w:p>
    <w:p w:rsidR="001C3405" w:rsidRDefault="001C3405" w:rsidP="000D3C27">
      <w:pPr>
        <w:jc w:val="both"/>
        <w:rPr>
          <w:b/>
          <w:sz w:val="26"/>
        </w:rPr>
      </w:pPr>
    </w:p>
    <w:p w:rsidR="001C3405" w:rsidRDefault="001C3405" w:rsidP="000D3C27">
      <w:pPr>
        <w:pStyle w:val="Emenda"/>
        <w:tabs>
          <w:tab w:val="left" w:pos="1702"/>
        </w:tabs>
        <w:spacing w:before="0" w:after="0"/>
        <w:rPr>
          <w:b/>
        </w:rPr>
      </w:pPr>
      <w:r>
        <w:rPr>
          <w:b/>
        </w:rPr>
        <w:t>Emenda nº 1</w:t>
      </w:r>
    </w:p>
    <w:p w:rsidR="001C3405" w:rsidRDefault="000A5BDC" w:rsidP="000D3C27">
      <w:pPr>
        <w:pStyle w:val="TITUL"/>
        <w:tabs>
          <w:tab w:val="left" w:pos="0"/>
        </w:tabs>
        <w:spacing w:before="0" w:after="0"/>
        <w:rPr>
          <w:b/>
          <w:caps w:val="0"/>
        </w:rPr>
      </w:pPr>
      <w:r w:rsidRPr="000A5BDC">
        <w:rPr>
          <w:b/>
          <w:caps w:val="0"/>
        </w:rPr>
        <w:t>(Corresponde à Emenda nº 37 – Plen)</w:t>
      </w:r>
    </w:p>
    <w:p w:rsidR="000A5BDC" w:rsidRDefault="000A5BDC" w:rsidP="000D3C27">
      <w:pPr>
        <w:pStyle w:val="TITUL"/>
        <w:tabs>
          <w:tab w:val="left" w:pos="0"/>
        </w:tabs>
        <w:spacing w:before="0" w:after="0"/>
        <w:rPr>
          <w:b/>
          <w:caps w:val="0"/>
        </w:rPr>
      </w:pPr>
    </w:p>
    <w:p w:rsidR="001C3405" w:rsidRPr="000A5BDC" w:rsidRDefault="000D3C27" w:rsidP="000D3C27">
      <w:pPr>
        <w:pStyle w:val="Artigo"/>
        <w:spacing w:before="0"/>
        <w:rPr>
          <w:b w:val="0"/>
        </w:rPr>
      </w:pPr>
      <w:r w:rsidRPr="000D3C27">
        <w:rPr>
          <w:b w:val="0"/>
        </w:rPr>
        <w:t>Dê-se a seguinte redação aos arts. 2º e 3º do Projeto:</w:t>
      </w:r>
    </w:p>
    <w:p w:rsidR="000D3C27" w:rsidRPr="000D3C27" w:rsidRDefault="000D3C27" w:rsidP="000D3C27">
      <w:pPr>
        <w:pStyle w:val="Artart"/>
        <w:spacing w:before="0"/>
        <w:rPr>
          <w:sz w:val="26"/>
        </w:rPr>
      </w:pPr>
      <w:r>
        <w:rPr>
          <w:sz w:val="26"/>
        </w:rPr>
        <w:t>“</w:t>
      </w:r>
      <w:r w:rsidRPr="000D3C27">
        <w:rPr>
          <w:sz w:val="26"/>
        </w:rPr>
        <w:t>Art. 2º ...............</w:t>
      </w:r>
      <w:r>
        <w:rPr>
          <w:sz w:val="26"/>
        </w:rPr>
        <w:t>..................................................</w:t>
      </w:r>
      <w:r w:rsidRPr="000D3C27">
        <w:rPr>
          <w:sz w:val="26"/>
        </w:rPr>
        <w:t>...................................</w:t>
      </w:r>
    </w:p>
    <w:p w:rsidR="000D3C27" w:rsidRPr="000D3C27" w:rsidRDefault="000D3C27" w:rsidP="000D3C27">
      <w:pPr>
        <w:pStyle w:val="Artart"/>
        <w:spacing w:before="0"/>
        <w:rPr>
          <w:sz w:val="26"/>
        </w:rPr>
      </w:pPr>
      <w:r w:rsidRPr="000D3C27">
        <w:rPr>
          <w:sz w:val="26"/>
        </w:rPr>
        <w:t>I – rebate de 80% (oitenta por cento) para a quitação das dívidas relativas às empresas que receberam o Certificado de Empreendimento Implantado (CEI); ou</w:t>
      </w:r>
    </w:p>
    <w:p w:rsidR="000D3C27" w:rsidRPr="000D3C27" w:rsidRDefault="000D3C27" w:rsidP="000D3C27">
      <w:pPr>
        <w:pStyle w:val="Artart"/>
        <w:spacing w:before="0"/>
        <w:rPr>
          <w:sz w:val="26"/>
        </w:rPr>
      </w:pPr>
      <w:r w:rsidRPr="000D3C27">
        <w:rPr>
          <w:sz w:val="26"/>
        </w:rPr>
        <w:t xml:space="preserve">II – rebate de 75% (setenta e cinco por cento) para a quitação das dívidas relativas às empresas cujos projetos se encontrarem em implantação regular ou às empresas cujos projetos tiverem seus incentivos financeiros cancelados por fatores supervenientes, na forma do disposto nos incisos II, III ou IV do </w:t>
      </w:r>
      <w:r>
        <w:rPr>
          <w:sz w:val="26"/>
        </w:rPr>
        <w:t xml:space="preserve">§ </w:t>
      </w:r>
      <w:r w:rsidRPr="000D3C27">
        <w:rPr>
          <w:sz w:val="26"/>
        </w:rPr>
        <w:t>4º do art. 12 da Lei nº 8.167, de 16 de janeiro de 1991.</w:t>
      </w:r>
    </w:p>
    <w:p w:rsidR="000D3C27" w:rsidRPr="000D3C27" w:rsidRDefault="000D3C27" w:rsidP="000D3C27">
      <w:pPr>
        <w:pStyle w:val="Artart"/>
        <w:spacing w:before="0"/>
        <w:rPr>
          <w:sz w:val="26"/>
        </w:rPr>
      </w:pPr>
      <w:r>
        <w:rPr>
          <w:sz w:val="26"/>
        </w:rPr>
        <w:t xml:space="preserve">§ </w:t>
      </w:r>
      <w:r w:rsidRPr="000D3C27">
        <w:rPr>
          <w:sz w:val="26"/>
        </w:rPr>
        <w:t xml:space="preserve">1º A apuração do saldo para quitação de que trata o </w:t>
      </w:r>
      <w:r w:rsidRPr="000D3C27">
        <w:rPr>
          <w:b/>
          <w:sz w:val="26"/>
        </w:rPr>
        <w:t>caput</w:t>
      </w:r>
      <w:r w:rsidRPr="000D3C27">
        <w:rPr>
          <w:sz w:val="26"/>
        </w:rPr>
        <w:t xml:space="preserve"> deste artigo será realizada a partir da soma dos valores de emissão das debêntures ao respectivo fundo, atualizados pelo Índice de Preços ao Consumidor Amplo (IPCA), excluídos quaisquer bônus, multas, juros de mora e outros encargos por inadimplemento, admitida a cobrança de honorários advocatícios máximos de 1% (um por cento) do valor original da dívida para operações que se encontrem em cobrança judicial, mesmo que outros encargos tenham sido incorporados ou pactuados por meio de aditivos contratuais ou escrituras públicas de confissão, de assunção e de repactuação de dívidas.</w:t>
      </w:r>
    </w:p>
    <w:p w:rsidR="000D3C27" w:rsidRPr="000D3C27" w:rsidRDefault="000D3C27" w:rsidP="000D3C27">
      <w:pPr>
        <w:pStyle w:val="Artart"/>
        <w:spacing w:before="0"/>
        <w:ind w:firstLine="0"/>
        <w:rPr>
          <w:sz w:val="26"/>
        </w:rPr>
      </w:pPr>
      <w:r w:rsidRPr="000D3C27">
        <w:rPr>
          <w:sz w:val="26"/>
        </w:rPr>
        <w:t>........</w:t>
      </w:r>
      <w:r>
        <w:rPr>
          <w:sz w:val="26"/>
        </w:rPr>
        <w:t>........................................</w:t>
      </w:r>
      <w:r w:rsidRPr="000D3C27">
        <w:rPr>
          <w:sz w:val="26"/>
        </w:rPr>
        <w:t>.....................................................................</w:t>
      </w:r>
    </w:p>
    <w:p w:rsidR="000D3C27" w:rsidRPr="000D3C27" w:rsidRDefault="000D3C27" w:rsidP="000D3C27">
      <w:pPr>
        <w:pStyle w:val="Artart"/>
        <w:spacing w:before="0"/>
        <w:rPr>
          <w:sz w:val="26"/>
        </w:rPr>
      </w:pPr>
      <w:r>
        <w:rPr>
          <w:sz w:val="26"/>
        </w:rPr>
        <w:t xml:space="preserve">§ </w:t>
      </w:r>
      <w:r w:rsidRPr="000D3C27">
        <w:rPr>
          <w:sz w:val="26"/>
        </w:rPr>
        <w:t xml:space="preserve">3º A atualização prevista no </w:t>
      </w:r>
      <w:r>
        <w:rPr>
          <w:sz w:val="26"/>
        </w:rPr>
        <w:t xml:space="preserve">§ </w:t>
      </w:r>
      <w:r w:rsidRPr="000D3C27">
        <w:rPr>
          <w:sz w:val="26"/>
        </w:rPr>
        <w:t>1º poderá ser feita por meio da Taxa Referencial (TR), mediante solicitação do devedor.</w:t>
      </w:r>
    </w:p>
    <w:p w:rsidR="000D3C27" w:rsidRPr="000D3C27" w:rsidRDefault="000D3C27" w:rsidP="000D3C27">
      <w:pPr>
        <w:pStyle w:val="Artart"/>
        <w:spacing w:before="0"/>
        <w:rPr>
          <w:sz w:val="26"/>
        </w:rPr>
      </w:pPr>
      <w:r>
        <w:rPr>
          <w:sz w:val="26"/>
        </w:rPr>
        <w:lastRenderedPageBreak/>
        <w:t xml:space="preserve">§ </w:t>
      </w:r>
      <w:r w:rsidRPr="000D3C27">
        <w:rPr>
          <w:sz w:val="26"/>
        </w:rPr>
        <w:t>4º A liquidação da dívida ocorrerá quando do efetivo pagamento integral do débito, vedada a quitação parcial, para fins do disposto neste Capítulo.</w:t>
      </w:r>
      <w:r>
        <w:rPr>
          <w:sz w:val="26"/>
        </w:rPr>
        <w:t>”</w:t>
      </w:r>
    </w:p>
    <w:p w:rsidR="000D3C27" w:rsidRPr="000D3C27" w:rsidRDefault="000D3C27" w:rsidP="000D3C27">
      <w:pPr>
        <w:pStyle w:val="Artart"/>
        <w:spacing w:before="0"/>
        <w:rPr>
          <w:sz w:val="26"/>
        </w:rPr>
      </w:pPr>
      <w:r>
        <w:rPr>
          <w:sz w:val="26"/>
        </w:rPr>
        <w:t>“</w:t>
      </w:r>
      <w:r w:rsidRPr="000D3C27">
        <w:rPr>
          <w:sz w:val="26"/>
        </w:rPr>
        <w:t>Art. 3º ...........................</w:t>
      </w:r>
      <w:r>
        <w:rPr>
          <w:sz w:val="26"/>
        </w:rPr>
        <w:t>...................................</w:t>
      </w:r>
      <w:r w:rsidRPr="000D3C27">
        <w:rPr>
          <w:sz w:val="26"/>
        </w:rPr>
        <w:t>......................................</w:t>
      </w:r>
    </w:p>
    <w:p w:rsidR="000D3C27" w:rsidRPr="000D3C27" w:rsidRDefault="000D3C27" w:rsidP="000D3C27">
      <w:pPr>
        <w:pStyle w:val="Artart"/>
        <w:spacing w:before="0"/>
        <w:rPr>
          <w:sz w:val="26"/>
        </w:rPr>
      </w:pPr>
      <w:r w:rsidRPr="000D3C27">
        <w:rPr>
          <w:sz w:val="26"/>
        </w:rPr>
        <w:t>I – rebate de 75% (setenta e cinco por cento) para a renegociação das dívidas relativas às empresas que receberam o CEI; ou</w:t>
      </w:r>
    </w:p>
    <w:p w:rsidR="000D3C27" w:rsidRPr="000D3C27" w:rsidRDefault="000D3C27" w:rsidP="000D3C27">
      <w:pPr>
        <w:pStyle w:val="Artart"/>
        <w:spacing w:before="0"/>
        <w:rPr>
          <w:sz w:val="26"/>
        </w:rPr>
      </w:pPr>
      <w:r w:rsidRPr="000D3C27">
        <w:rPr>
          <w:sz w:val="26"/>
        </w:rPr>
        <w:t xml:space="preserve">II – rebate de 70% (setenta por cento) para a renegociação das dívidas relativas às empresas cujos projetos se encontrarem em implantação regular ou às empresas cujos projetos tiverem seus incentivos financeiros cancelados por fatores supervenientes, na forma do disposto nos incisos II, III ou IV do </w:t>
      </w:r>
      <w:r>
        <w:rPr>
          <w:sz w:val="26"/>
        </w:rPr>
        <w:t xml:space="preserve">§ </w:t>
      </w:r>
      <w:r w:rsidRPr="000D3C27">
        <w:rPr>
          <w:sz w:val="26"/>
        </w:rPr>
        <w:t>4º do art. 12 da Lei nº 8.167, de 16 de janeiro de 1991.</w:t>
      </w:r>
    </w:p>
    <w:p w:rsidR="000D3C27" w:rsidRPr="000D3C27" w:rsidRDefault="000D3C27" w:rsidP="000D3C27">
      <w:pPr>
        <w:pStyle w:val="Artart"/>
        <w:spacing w:before="0"/>
        <w:rPr>
          <w:sz w:val="26"/>
        </w:rPr>
      </w:pPr>
      <w:r>
        <w:rPr>
          <w:sz w:val="26"/>
        </w:rPr>
        <w:t xml:space="preserve">§ </w:t>
      </w:r>
      <w:r w:rsidRPr="000D3C27">
        <w:rPr>
          <w:sz w:val="26"/>
        </w:rPr>
        <w:t>1º ...................</w:t>
      </w:r>
      <w:r>
        <w:rPr>
          <w:sz w:val="26"/>
        </w:rPr>
        <w:t>...................................</w:t>
      </w:r>
      <w:r w:rsidRPr="000D3C27">
        <w:rPr>
          <w:sz w:val="26"/>
        </w:rPr>
        <w:t>....................................................</w:t>
      </w:r>
    </w:p>
    <w:p w:rsidR="000D3C27" w:rsidRPr="000D3C27" w:rsidRDefault="000D3C27" w:rsidP="000D3C27">
      <w:pPr>
        <w:pStyle w:val="Artart"/>
        <w:spacing w:before="0"/>
        <w:rPr>
          <w:sz w:val="26"/>
        </w:rPr>
      </w:pPr>
      <w:r w:rsidRPr="000D3C27">
        <w:rPr>
          <w:sz w:val="26"/>
        </w:rPr>
        <w:t xml:space="preserve">I – amortização prévia do saldo devedor das debêntures, após os rebates estabelecidos nos incisos I e II do </w:t>
      </w:r>
      <w:r w:rsidRPr="000D3C27">
        <w:rPr>
          <w:b/>
          <w:sz w:val="26"/>
        </w:rPr>
        <w:t>caput</w:t>
      </w:r>
      <w:r w:rsidRPr="000D3C27">
        <w:rPr>
          <w:sz w:val="26"/>
        </w:rPr>
        <w:t xml:space="preserve">, de 5% (cinco por cento) para as empresas que receberam o CEI, para as empresas cujos projetos se encontrarem em implantação regular e para as empresas cujos projetos tiverem seus incentivos financeiros cancelados por fatores supervenientes, na forma do disposto nos incisos II, III ou IV do </w:t>
      </w:r>
      <w:r>
        <w:rPr>
          <w:sz w:val="26"/>
        </w:rPr>
        <w:t xml:space="preserve">§ </w:t>
      </w:r>
      <w:r w:rsidRPr="000D3C27">
        <w:rPr>
          <w:sz w:val="26"/>
        </w:rPr>
        <w:t>4º do art. 12 da Lei nº 8.167, de 16 de janeiro de 1991;</w:t>
      </w:r>
    </w:p>
    <w:p w:rsidR="000D3C27" w:rsidRPr="000D3C27" w:rsidRDefault="000D3C27" w:rsidP="000D3C27">
      <w:pPr>
        <w:pStyle w:val="Artart"/>
        <w:spacing w:before="0"/>
        <w:ind w:firstLine="0"/>
        <w:rPr>
          <w:sz w:val="26"/>
        </w:rPr>
      </w:pPr>
      <w:r w:rsidRPr="000D3C27">
        <w:rPr>
          <w:sz w:val="26"/>
        </w:rPr>
        <w:t>........</w:t>
      </w:r>
      <w:r>
        <w:rPr>
          <w:sz w:val="26"/>
        </w:rPr>
        <w:t>........................................</w:t>
      </w:r>
      <w:r w:rsidRPr="000D3C27">
        <w:rPr>
          <w:sz w:val="26"/>
        </w:rPr>
        <w:t>.....................................................................</w:t>
      </w:r>
    </w:p>
    <w:p w:rsidR="000D3C27" w:rsidRPr="000D3C27" w:rsidRDefault="000D3C27" w:rsidP="000D3C27">
      <w:pPr>
        <w:pStyle w:val="Artart"/>
        <w:spacing w:before="0"/>
        <w:rPr>
          <w:sz w:val="26"/>
        </w:rPr>
      </w:pPr>
      <w:r>
        <w:rPr>
          <w:sz w:val="26"/>
        </w:rPr>
        <w:t xml:space="preserve">§ </w:t>
      </w:r>
      <w:r w:rsidRPr="000D3C27">
        <w:rPr>
          <w:sz w:val="26"/>
        </w:rPr>
        <w:t>2º Para a garantia da renegociação de que trata este artigo, o respectivo fundo não poderá exigir a constituição de garantia além daquela prevista no instrumento original de escritura de emissão de debêntures.</w:t>
      </w:r>
    </w:p>
    <w:p w:rsidR="000D3C27" w:rsidRPr="000D3C27" w:rsidRDefault="000D3C27" w:rsidP="000D3C27">
      <w:pPr>
        <w:pStyle w:val="Artart"/>
        <w:spacing w:before="0"/>
        <w:rPr>
          <w:sz w:val="26"/>
        </w:rPr>
      </w:pPr>
      <w:r>
        <w:rPr>
          <w:sz w:val="26"/>
        </w:rPr>
        <w:t xml:space="preserve">§ </w:t>
      </w:r>
      <w:r w:rsidRPr="000D3C27">
        <w:rPr>
          <w:sz w:val="26"/>
        </w:rPr>
        <w:t xml:space="preserve">3º A renegociação somente será confirmada quando do efetivo pagamento da amortização prévia a que se refere o inciso I do </w:t>
      </w:r>
      <w:r>
        <w:rPr>
          <w:sz w:val="26"/>
        </w:rPr>
        <w:t xml:space="preserve">§ </w:t>
      </w:r>
      <w:r w:rsidRPr="000D3C27">
        <w:rPr>
          <w:sz w:val="26"/>
        </w:rPr>
        <w:t>1º deste artigo.</w:t>
      </w:r>
    </w:p>
    <w:p w:rsidR="000D3C27" w:rsidRPr="000D3C27" w:rsidRDefault="000D3C27" w:rsidP="000D3C27">
      <w:pPr>
        <w:pStyle w:val="Artart"/>
        <w:spacing w:before="0"/>
        <w:rPr>
          <w:sz w:val="26"/>
        </w:rPr>
      </w:pPr>
      <w:r>
        <w:rPr>
          <w:sz w:val="26"/>
        </w:rPr>
        <w:t xml:space="preserve">§ </w:t>
      </w:r>
      <w:r w:rsidRPr="000D3C27">
        <w:rPr>
          <w:sz w:val="26"/>
        </w:rPr>
        <w:t>4º A mora ou o inadimplemento, por parte do devedor, no pagamento de quaisquer parcelas das dívidas em debêntures renegociadas ao amparo deste artigo acarretará o impedimento para a contratação de novos financiamentos com instituições financeiras federais, enquanto permanecer a situação de mora ou inadimplemento.</w:t>
      </w:r>
    </w:p>
    <w:p w:rsidR="000D3C27" w:rsidRPr="000D3C27" w:rsidRDefault="000D3C27" w:rsidP="000D3C27">
      <w:pPr>
        <w:pStyle w:val="Artart"/>
        <w:spacing w:before="0"/>
        <w:rPr>
          <w:sz w:val="26"/>
        </w:rPr>
      </w:pPr>
      <w:r>
        <w:rPr>
          <w:sz w:val="26"/>
        </w:rPr>
        <w:t xml:space="preserve">§ </w:t>
      </w:r>
      <w:r w:rsidRPr="000D3C27">
        <w:rPr>
          <w:sz w:val="26"/>
        </w:rPr>
        <w:t xml:space="preserve">5º A apuração do saldo devido para a renegociação de que trata o </w:t>
      </w:r>
      <w:r w:rsidRPr="000D3C27">
        <w:rPr>
          <w:b/>
          <w:sz w:val="26"/>
        </w:rPr>
        <w:t>caput</w:t>
      </w:r>
      <w:r w:rsidRPr="000D3C27">
        <w:rPr>
          <w:sz w:val="26"/>
        </w:rPr>
        <w:t xml:space="preserve"> deste artigo será realizada a partir da soma dos valores de emissão das debêntures ao respectivo fundo, atualizados pelo Índice de Preços ao Consumidor Amplo (IPCA), excluídos quaisquer percentuais de bônus, multas, juros de mora e outros encargos por inadimplemento atualizados desde a data em que ocorreram, admitida a cobrança de honorários advocatícios máximos de 1% (um por cento) do valor original da dívida para operações que se encontrem em cobrança judicial, mesmo que outros encargos tenham sido incorporados ou pactuados por meio de aditivos </w:t>
      </w:r>
      <w:r w:rsidRPr="000D3C27">
        <w:rPr>
          <w:sz w:val="26"/>
        </w:rPr>
        <w:lastRenderedPageBreak/>
        <w:t>contratuais ou escrituras públicas de confissão, de assunção e de repactuação de dívidas.</w:t>
      </w:r>
    </w:p>
    <w:p w:rsidR="000D3C27" w:rsidRPr="000D3C27" w:rsidRDefault="000D3C27" w:rsidP="000D3C27">
      <w:pPr>
        <w:pStyle w:val="Artart"/>
        <w:spacing w:before="0"/>
        <w:rPr>
          <w:sz w:val="26"/>
        </w:rPr>
      </w:pPr>
      <w:r>
        <w:rPr>
          <w:sz w:val="26"/>
        </w:rPr>
        <w:t xml:space="preserve">§ </w:t>
      </w:r>
      <w:r w:rsidRPr="000D3C27">
        <w:rPr>
          <w:sz w:val="26"/>
        </w:rPr>
        <w:t>6º A liquidação da dívida ocorrerá quando do efetivo pagamento integral do débito renegociado.</w:t>
      </w:r>
    </w:p>
    <w:p w:rsidR="000D3C27" w:rsidRPr="000D3C27" w:rsidRDefault="000D3C27" w:rsidP="000D3C27">
      <w:pPr>
        <w:pStyle w:val="Artart"/>
        <w:spacing w:before="0"/>
        <w:rPr>
          <w:sz w:val="26"/>
        </w:rPr>
      </w:pPr>
      <w:r>
        <w:rPr>
          <w:sz w:val="26"/>
        </w:rPr>
        <w:t xml:space="preserve">§ </w:t>
      </w:r>
      <w:r w:rsidRPr="000D3C27">
        <w:rPr>
          <w:sz w:val="26"/>
        </w:rPr>
        <w:t>7º A mora ou o inadimplemento de quaisquer parcelas pelo devedor acarretará o vencimento antecipado de toda a dívida, possibilitará a execução integral do débito pelo banco operador, e o rebate concedido por ocasião da renegociação, proporcional ao saldo devedor, será excluído.</w:t>
      </w:r>
    </w:p>
    <w:p w:rsidR="000D3C27" w:rsidRPr="000D3C27" w:rsidRDefault="000D3C27" w:rsidP="000D3C27">
      <w:pPr>
        <w:pStyle w:val="Artart"/>
        <w:spacing w:before="0"/>
        <w:rPr>
          <w:sz w:val="26"/>
        </w:rPr>
      </w:pPr>
      <w:r>
        <w:rPr>
          <w:sz w:val="26"/>
        </w:rPr>
        <w:t xml:space="preserve">§ </w:t>
      </w:r>
      <w:r w:rsidRPr="000D3C27">
        <w:rPr>
          <w:sz w:val="26"/>
        </w:rPr>
        <w:t xml:space="preserve">8º Na hipótese do </w:t>
      </w:r>
      <w:r>
        <w:rPr>
          <w:sz w:val="26"/>
        </w:rPr>
        <w:t xml:space="preserve">§ </w:t>
      </w:r>
      <w:r w:rsidRPr="000D3C27">
        <w:rPr>
          <w:sz w:val="26"/>
        </w:rPr>
        <w:t>7º deste artigo, se o devedor não quitar a dívida remanescente no prazo de 30 (trinta) dias, contado do vencimento antecipado, o saldo devedor será acrescido de multa moratória de 10% (dez por cento), correção monetária pelo Índice de Preços ao Consumidor Amplo (IPCA) e juros simples de 6% a.a. (seis por cento ao ano), computados dia a dia.</w:t>
      </w:r>
    </w:p>
    <w:p w:rsidR="000D3C27" w:rsidRPr="000D3C27" w:rsidRDefault="000D3C27" w:rsidP="000D3C27">
      <w:pPr>
        <w:pStyle w:val="Artart"/>
        <w:spacing w:before="0"/>
        <w:rPr>
          <w:sz w:val="26"/>
        </w:rPr>
      </w:pPr>
      <w:r>
        <w:rPr>
          <w:sz w:val="26"/>
        </w:rPr>
        <w:t xml:space="preserve">§ </w:t>
      </w:r>
      <w:r w:rsidRPr="000D3C27">
        <w:rPr>
          <w:sz w:val="26"/>
        </w:rPr>
        <w:t xml:space="preserve">9º A correção monetária prevista nos </w:t>
      </w:r>
      <w:r>
        <w:rPr>
          <w:sz w:val="26"/>
        </w:rPr>
        <w:t xml:space="preserve">§§ </w:t>
      </w:r>
      <w:r w:rsidRPr="000D3C27">
        <w:rPr>
          <w:sz w:val="26"/>
        </w:rPr>
        <w:t>5º e 8º poderá ser feita utilizando-se a Taxa Referencial (TR), mediante solicitação do devedor.</w:t>
      </w:r>
    </w:p>
    <w:p w:rsidR="001C3405" w:rsidRDefault="000D3C27" w:rsidP="000D3C27">
      <w:pPr>
        <w:pStyle w:val="Artart"/>
        <w:spacing w:before="0"/>
        <w:rPr>
          <w:sz w:val="26"/>
        </w:rPr>
      </w:pPr>
      <w:r>
        <w:rPr>
          <w:sz w:val="26"/>
        </w:rPr>
        <w:t xml:space="preserve">§ </w:t>
      </w:r>
      <w:r w:rsidRPr="000D3C27">
        <w:rPr>
          <w:sz w:val="26"/>
        </w:rPr>
        <w:t>10. Como parte da renegociação, o fundo credor poderá aceitar a substituição das debêntures originais pela emissão de novas debêntures, não conversíveis em ações, se essa medida se mostrar financeiramente vantajosa.</w:t>
      </w:r>
      <w:r>
        <w:rPr>
          <w:sz w:val="26"/>
        </w:rPr>
        <w:t>”</w:t>
      </w:r>
    </w:p>
    <w:p w:rsidR="001C3405" w:rsidRDefault="001C3405" w:rsidP="000D3C27">
      <w:pPr>
        <w:jc w:val="center"/>
        <w:rPr>
          <w:b/>
          <w:sz w:val="26"/>
        </w:rPr>
      </w:pPr>
    </w:p>
    <w:p w:rsidR="001C3405" w:rsidRDefault="001C3405" w:rsidP="000D3C27">
      <w:pPr>
        <w:pStyle w:val="Emenda"/>
        <w:tabs>
          <w:tab w:val="left" w:pos="1702"/>
        </w:tabs>
        <w:spacing w:before="0" w:after="0"/>
        <w:rPr>
          <w:b/>
        </w:rPr>
      </w:pPr>
      <w:r>
        <w:rPr>
          <w:b/>
        </w:rPr>
        <w:t>Emenda nº 2</w:t>
      </w:r>
    </w:p>
    <w:p w:rsidR="001C3405" w:rsidRDefault="000D3C27" w:rsidP="000D3C27">
      <w:pPr>
        <w:pStyle w:val="TITUL"/>
        <w:tabs>
          <w:tab w:val="left" w:pos="0"/>
        </w:tabs>
        <w:spacing w:before="0" w:after="0"/>
        <w:rPr>
          <w:b/>
          <w:caps w:val="0"/>
        </w:rPr>
      </w:pPr>
      <w:r w:rsidRPr="000D3C27">
        <w:rPr>
          <w:b/>
          <w:caps w:val="0"/>
        </w:rPr>
        <w:t>(Corresponde à Emenda nº 41 – Plen)</w:t>
      </w:r>
    </w:p>
    <w:p w:rsidR="000A5BDC" w:rsidRDefault="000A5BDC" w:rsidP="000D3C27">
      <w:pPr>
        <w:pStyle w:val="TITUL"/>
        <w:tabs>
          <w:tab w:val="left" w:pos="0"/>
        </w:tabs>
        <w:spacing w:before="0" w:after="0"/>
        <w:rPr>
          <w:b/>
          <w:caps w:val="0"/>
        </w:rPr>
      </w:pPr>
    </w:p>
    <w:p w:rsidR="001C3405" w:rsidRPr="000A5BDC" w:rsidRDefault="000D3C27" w:rsidP="000D3C27">
      <w:pPr>
        <w:pStyle w:val="Artigo"/>
        <w:spacing w:before="0"/>
        <w:rPr>
          <w:b w:val="0"/>
        </w:rPr>
      </w:pPr>
      <w:r w:rsidRPr="000D3C27">
        <w:rPr>
          <w:b w:val="0"/>
        </w:rPr>
        <w:t xml:space="preserve">Acrescente-se o seguinte inciso V ao </w:t>
      </w:r>
      <w:r w:rsidRPr="000D3C27">
        <w:t>caput</w:t>
      </w:r>
      <w:r w:rsidRPr="000D3C27">
        <w:rPr>
          <w:b w:val="0"/>
        </w:rPr>
        <w:t xml:space="preserve"> do art. 12 do Projeto:</w:t>
      </w:r>
    </w:p>
    <w:p w:rsidR="000D3C27" w:rsidRPr="000D3C27" w:rsidRDefault="000D3C27" w:rsidP="000D3C27">
      <w:pPr>
        <w:pStyle w:val="Artart"/>
        <w:spacing w:before="0"/>
        <w:rPr>
          <w:sz w:val="26"/>
        </w:rPr>
      </w:pPr>
      <w:r>
        <w:rPr>
          <w:sz w:val="26"/>
        </w:rPr>
        <w:t>“</w:t>
      </w:r>
      <w:r w:rsidRPr="000D3C27">
        <w:rPr>
          <w:sz w:val="26"/>
        </w:rPr>
        <w:t>Art. 12. ......................................</w:t>
      </w:r>
      <w:r>
        <w:rPr>
          <w:sz w:val="26"/>
        </w:rPr>
        <w:t>.......................</w:t>
      </w:r>
      <w:r w:rsidRPr="000D3C27">
        <w:rPr>
          <w:sz w:val="26"/>
        </w:rPr>
        <w:t>.....................................</w:t>
      </w:r>
    </w:p>
    <w:p w:rsidR="000D3C27" w:rsidRPr="000D3C27" w:rsidRDefault="000D3C27" w:rsidP="000D3C27">
      <w:pPr>
        <w:pStyle w:val="Artart"/>
        <w:spacing w:before="0"/>
        <w:ind w:firstLine="0"/>
        <w:rPr>
          <w:sz w:val="26"/>
        </w:rPr>
      </w:pPr>
      <w:r w:rsidRPr="000D3C27">
        <w:rPr>
          <w:sz w:val="26"/>
        </w:rPr>
        <w:t>........</w:t>
      </w:r>
      <w:r>
        <w:rPr>
          <w:sz w:val="26"/>
        </w:rPr>
        <w:t>........................................</w:t>
      </w:r>
      <w:r w:rsidRPr="000D3C27">
        <w:rPr>
          <w:sz w:val="26"/>
        </w:rPr>
        <w:t>.....................................................................</w:t>
      </w:r>
    </w:p>
    <w:p w:rsidR="001C3405" w:rsidRDefault="000D3C27" w:rsidP="000D3C27">
      <w:pPr>
        <w:pStyle w:val="Artart"/>
        <w:spacing w:before="0"/>
        <w:rPr>
          <w:sz w:val="26"/>
        </w:rPr>
      </w:pPr>
      <w:r w:rsidRPr="000D3C27">
        <w:rPr>
          <w:sz w:val="26"/>
        </w:rPr>
        <w:t>V – estabelecer os procedimentos para recompra de cotas com vistas à liquidação dos fundos de que trata o art. 1º, bem como para destinação dos saldos resultantes, que deverão ser doados, de forma gratuita e desimpedida, ao Fundo de Arrendamento Residencial (FAR).</w:t>
      </w:r>
      <w:r>
        <w:rPr>
          <w:sz w:val="26"/>
        </w:rPr>
        <w:t>”</w:t>
      </w:r>
    </w:p>
    <w:p w:rsidR="001C3405" w:rsidRDefault="001C3405" w:rsidP="000D3C27">
      <w:pPr>
        <w:jc w:val="center"/>
        <w:rPr>
          <w:b/>
          <w:sz w:val="26"/>
        </w:rPr>
      </w:pPr>
    </w:p>
    <w:p w:rsidR="001C3405" w:rsidRDefault="001C3405" w:rsidP="000D3C27">
      <w:pPr>
        <w:pStyle w:val="Emenda"/>
        <w:tabs>
          <w:tab w:val="left" w:pos="1702"/>
        </w:tabs>
        <w:spacing w:before="0" w:after="0"/>
        <w:rPr>
          <w:b/>
        </w:rPr>
      </w:pPr>
      <w:r>
        <w:rPr>
          <w:b/>
        </w:rPr>
        <w:t>Emenda nº 3</w:t>
      </w:r>
    </w:p>
    <w:p w:rsidR="001C3405" w:rsidRDefault="000D3C27" w:rsidP="000D3C27">
      <w:pPr>
        <w:pStyle w:val="TITUL"/>
        <w:tabs>
          <w:tab w:val="left" w:pos="0"/>
        </w:tabs>
        <w:spacing w:before="0" w:after="0"/>
        <w:rPr>
          <w:b/>
          <w:caps w:val="0"/>
        </w:rPr>
      </w:pPr>
      <w:r w:rsidRPr="000D3C27">
        <w:rPr>
          <w:b/>
          <w:caps w:val="0"/>
        </w:rPr>
        <w:t>(Corresponde à Emenda nº 38 – Plen)</w:t>
      </w:r>
    </w:p>
    <w:p w:rsidR="000A5BDC" w:rsidRDefault="000A5BDC" w:rsidP="000D3C27">
      <w:pPr>
        <w:pStyle w:val="TITUL"/>
        <w:tabs>
          <w:tab w:val="left" w:pos="0"/>
        </w:tabs>
        <w:spacing w:before="0" w:after="0"/>
        <w:rPr>
          <w:b/>
          <w:caps w:val="0"/>
        </w:rPr>
      </w:pPr>
    </w:p>
    <w:p w:rsidR="001C3405" w:rsidRPr="000A5BDC" w:rsidRDefault="000D3C27" w:rsidP="000D3C27">
      <w:pPr>
        <w:pStyle w:val="Artigo"/>
        <w:spacing w:before="0"/>
        <w:rPr>
          <w:b w:val="0"/>
        </w:rPr>
      </w:pPr>
      <w:r w:rsidRPr="000D3C27">
        <w:rPr>
          <w:b w:val="0"/>
        </w:rPr>
        <w:t>Acrescente-se o seguinte parágrafo único ao art. 14 do Projeto:</w:t>
      </w:r>
    </w:p>
    <w:p w:rsidR="000D3C27" w:rsidRPr="000D3C27" w:rsidRDefault="000D3C27" w:rsidP="000D3C27">
      <w:pPr>
        <w:pStyle w:val="Artart"/>
        <w:spacing w:before="0"/>
        <w:rPr>
          <w:sz w:val="26"/>
        </w:rPr>
      </w:pPr>
      <w:r>
        <w:rPr>
          <w:sz w:val="26"/>
        </w:rPr>
        <w:t>“</w:t>
      </w:r>
      <w:r w:rsidRPr="000D3C27">
        <w:rPr>
          <w:sz w:val="26"/>
        </w:rPr>
        <w:t>Art. 14. ....................</w:t>
      </w:r>
      <w:r>
        <w:rPr>
          <w:sz w:val="26"/>
        </w:rPr>
        <w:t>.......................</w:t>
      </w:r>
      <w:r w:rsidRPr="000D3C27">
        <w:rPr>
          <w:sz w:val="26"/>
        </w:rPr>
        <w:t>.......................................................</w:t>
      </w:r>
    </w:p>
    <w:p w:rsidR="001C3405" w:rsidRDefault="000D3C27" w:rsidP="000D3C27">
      <w:pPr>
        <w:pStyle w:val="Artart"/>
        <w:spacing w:before="0"/>
        <w:rPr>
          <w:sz w:val="26"/>
        </w:rPr>
      </w:pPr>
      <w:r w:rsidRPr="000D3C27">
        <w:rPr>
          <w:sz w:val="26"/>
        </w:rPr>
        <w:t>Parágrafo único. Após a liquidação dos instrumentos financeiros, o Ministério do Desenvolvimento Regional fica autorizado a extinguir os fundos de que trata o art. 1º desta Lei e a estabelecer os procedimentos e o cronograma necessários a esse fim.</w:t>
      </w:r>
      <w:r>
        <w:rPr>
          <w:sz w:val="26"/>
        </w:rPr>
        <w:t>”</w:t>
      </w:r>
    </w:p>
    <w:p w:rsidR="001C3405" w:rsidRDefault="001C3405" w:rsidP="000D3C27">
      <w:pPr>
        <w:pStyle w:val="Recuodecorpodetexto"/>
        <w:spacing w:after="0"/>
        <w:ind w:left="1077" w:right="918" w:firstLine="567"/>
        <w:jc w:val="both"/>
      </w:pPr>
    </w:p>
    <w:p w:rsidR="001C3405" w:rsidRDefault="001C3405" w:rsidP="000D3C27">
      <w:pPr>
        <w:pStyle w:val="Ttulo2"/>
        <w:keepNext w:val="0"/>
        <w:widowControl w:val="0"/>
        <w:ind w:firstLine="1134"/>
        <w:jc w:val="left"/>
        <w:rPr>
          <w:b w:val="0"/>
          <w:sz w:val="26"/>
        </w:rPr>
      </w:pPr>
      <w:r>
        <w:rPr>
          <w:b w:val="0"/>
          <w:sz w:val="26"/>
        </w:rPr>
        <w:t xml:space="preserve">Senado Federal, </w:t>
      </w:r>
      <w:r w:rsidR="00A62569" w:rsidRPr="00A62569">
        <w:rPr>
          <w:b w:val="0"/>
          <w:sz w:val="26"/>
        </w:rPr>
        <w:t>em</w:t>
      </w:r>
      <w:r w:rsidR="003E321E">
        <w:rPr>
          <w:b w:val="0"/>
          <w:sz w:val="26"/>
        </w:rPr>
        <w:t xml:space="preserve"> 18 </w:t>
      </w:r>
      <w:r w:rsidR="00A62569" w:rsidRPr="00A62569">
        <w:rPr>
          <w:b w:val="0"/>
          <w:sz w:val="26"/>
        </w:rPr>
        <w:t>de</w:t>
      </w:r>
      <w:r w:rsidR="003E321E">
        <w:rPr>
          <w:b w:val="0"/>
          <w:sz w:val="26"/>
        </w:rPr>
        <w:t xml:space="preserve"> maio </w:t>
      </w:r>
      <w:r w:rsidR="00A62569" w:rsidRPr="00A62569">
        <w:rPr>
          <w:b w:val="0"/>
          <w:sz w:val="26"/>
        </w:rPr>
        <w:t xml:space="preserve">de </w:t>
      </w:r>
      <w:r w:rsidR="003E321E">
        <w:rPr>
          <w:b w:val="0"/>
          <w:sz w:val="26"/>
        </w:rPr>
        <w:t xml:space="preserve"> 2021</w:t>
      </w:r>
      <w:r>
        <w:rPr>
          <w:b w:val="0"/>
          <w:sz w:val="26"/>
        </w:rPr>
        <w:t>.</w:t>
      </w:r>
    </w:p>
    <w:p w:rsidR="001C3405" w:rsidRDefault="001C3405" w:rsidP="000D3C27">
      <w:pPr>
        <w:jc w:val="center"/>
        <w:rPr>
          <w:sz w:val="26"/>
        </w:rPr>
      </w:pPr>
    </w:p>
    <w:p w:rsidR="001C3405" w:rsidRDefault="001C3405" w:rsidP="000D3C27">
      <w:pPr>
        <w:jc w:val="both"/>
        <w:rPr>
          <w:sz w:val="26"/>
        </w:rPr>
      </w:pPr>
    </w:p>
    <w:p w:rsidR="001C3405" w:rsidRDefault="001C3405" w:rsidP="000D3C27">
      <w:pPr>
        <w:jc w:val="both"/>
        <w:rPr>
          <w:sz w:val="26"/>
        </w:rPr>
      </w:pPr>
    </w:p>
    <w:p w:rsidR="001C3405" w:rsidRDefault="001C3405" w:rsidP="000D3C27">
      <w:pPr>
        <w:jc w:val="both"/>
        <w:rPr>
          <w:sz w:val="26"/>
        </w:rPr>
      </w:pPr>
    </w:p>
    <w:p w:rsidR="001C3405" w:rsidRDefault="001C3405" w:rsidP="000D3C27">
      <w:pPr>
        <w:pStyle w:val="texto1"/>
        <w:tabs>
          <w:tab w:val="clear" w:pos="8505"/>
        </w:tabs>
        <w:spacing w:line="240" w:lineRule="auto"/>
        <w:ind w:firstLine="0"/>
        <w:jc w:val="center"/>
        <w:rPr>
          <w:rFonts w:ascii="Times New Roman" w:hAnsi="Times New Roman"/>
          <w:sz w:val="26"/>
        </w:rPr>
      </w:pPr>
      <w:r>
        <w:rPr>
          <w:rFonts w:ascii="Times New Roman" w:hAnsi="Times New Roman"/>
          <w:b w:val="0"/>
          <w:sz w:val="26"/>
        </w:rPr>
        <w:t>S</w:t>
      </w:r>
      <w:r w:rsidR="003B5BBB">
        <w:rPr>
          <w:rFonts w:ascii="Times New Roman" w:hAnsi="Times New Roman"/>
          <w:b w:val="0"/>
          <w:sz w:val="26"/>
        </w:rPr>
        <w:t xml:space="preserve">enador </w:t>
      </w:r>
      <w:r w:rsidR="000A5BDC">
        <w:rPr>
          <w:rFonts w:ascii="Times New Roman" w:hAnsi="Times New Roman"/>
          <w:b w:val="0"/>
          <w:sz w:val="26"/>
        </w:rPr>
        <w:t>Rodrigo Pacheco</w:t>
      </w:r>
    </w:p>
    <w:p w:rsidR="001C3405" w:rsidRDefault="001C3405" w:rsidP="000D3C27">
      <w:pPr>
        <w:pStyle w:val="texto1"/>
        <w:tabs>
          <w:tab w:val="clear" w:pos="8505"/>
        </w:tabs>
        <w:spacing w:line="240" w:lineRule="auto"/>
        <w:ind w:firstLine="0"/>
        <w:jc w:val="center"/>
        <w:rPr>
          <w:rFonts w:ascii="Times New Roman" w:hAnsi="Times New Roman"/>
          <w:b w:val="0"/>
          <w:sz w:val="26"/>
        </w:rPr>
      </w:pPr>
      <w:r>
        <w:rPr>
          <w:rFonts w:ascii="Times New Roman" w:hAnsi="Times New Roman"/>
          <w:b w:val="0"/>
          <w:sz w:val="26"/>
        </w:rPr>
        <w:t>Presidente do Senado Federal</w:t>
      </w:r>
    </w:p>
    <w:p w:rsidR="00721585" w:rsidRDefault="00721585" w:rsidP="000D3C27">
      <w:pPr>
        <w:pStyle w:val="Tit"/>
        <w:spacing w:before="0"/>
        <w:ind w:firstLine="1418"/>
        <w:jc w:val="left"/>
        <w:rPr>
          <w:rFonts w:ascii="Times New Roman" w:hAnsi="Times New Roman"/>
        </w:rPr>
      </w:pPr>
    </w:p>
    <w:p w:rsidR="00721585" w:rsidRDefault="00721585" w:rsidP="000D3C27">
      <w:pPr>
        <w:pStyle w:val="Cabealho"/>
        <w:jc w:val="both"/>
        <w:rPr>
          <w:sz w:val="26"/>
        </w:rPr>
      </w:pPr>
    </w:p>
    <w:p w:rsidR="00721585" w:rsidRDefault="00721585" w:rsidP="000D3C27">
      <w:pPr>
        <w:pStyle w:val="Cabealho"/>
        <w:jc w:val="both"/>
        <w:rPr>
          <w:sz w:val="26"/>
        </w:rPr>
      </w:pPr>
    </w:p>
    <w:p w:rsidR="00721585" w:rsidRDefault="00721585" w:rsidP="000D3C27">
      <w:pPr>
        <w:pStyle w:val="Cabealho"/>
        <w:jc w:val="both"/>
        <w:rPr>
          <w:sz w:val="26"/>
        </w:rPr>
      </w:pPr>
    </w:p>
    <w:p w:rsidR="00721585" w:rsidRDefault="00721585" w:rsidP="000D3C27">
      <w:pPr>
        <w:pStyle w:val="Cabealho"/>
        <w:jc w:val="both"/>
        <w:rPr>
          <w:sz w:val="26"/>
        </w:rPr>
      </w:pPr>
    </w:p>
    <w:p w:rsidR="00721585" w:rsidRDefault="00721585" w:rsidP="000D3C27">
      <w:pPr>
        <w:pStyle w:val="Cabealho"/>
        <w:jc w:val="both"/>
        <w:rPr>
          <w:sz w:val="26"/>
        </w:rPr>
      </w:pPr>
    </w:p>
    <w:p w:rsidR="001C3405" w:rsidRDefault="001C3405" w:rsidP="000D3C27">
      <w:pPr>
        <w:pStyle w:val="Cabealho"/>
        <w:jc w:val="both"/>
        <w:rPr>
          <w:sz w:val="26"/>
        </w:rPr>
      </w:pPr>
    </w:p>
    <w:p w:rsidR="001C3405" w:rsidRDefault="001C3405" w:rsidP="000D3C27">
      <w:pPr>
        <w:pStyle w:val="Cabealho"/>
        <w:jc w:val="both"/>
        <w:rPr>
          <w:sz w:val="26"/>
        </w:rPr>
      </w:pPr>
    </w:p>
    <w:p w:rsidR="001C3405" w:rsidRDefault="001C3405" w:rsidP="000D3C27">
      <w:pPr>
        <w:pStyle w:val="Cabealho"/>
        <w:jc w:val="both"/>
        <w:rPr>
          <w:sz w:val="26"/>
        </w:rPr>
      </w:pPr>
    </w:p>
    <w:p w:rsidR="001C3405" w:rsidRDefault="001C3405" w:rsidP="000D3C27">
      <w:pPr>
        <w:pStyle w:val="Cabealho"/>
        <w:jc w:val="both"/>
        <w:rPr>
          <w:sz w:val="26"/>
        </w:rPr>
      </w:pPr>
    </w:p>
    <w:p w:rsidR="001C3405" w:rsidRDefault="001C3405" w:rsidP="000D3C27">
      <w:pPr>
        <w:pStyle w:val="Cabealho"/>
        <w:jc w:val="both"/>
        <w:rPr>
          <w:sz w:val="26"/>
        </w:rPr>
      </w:pPr>
    </w:p>
    <w:p w:rsidR="001C3405" w:rsidRDefault="001C3405" w:rsidP="000D3C27">
      <w:pPr>
        <w:pStyle w:val="Cabealho"/>
        <w:jc w:val="both"/>
        <w:rPr>
          <w:sz w:val="26"/>
        </w:rPr>
      </w:pPr>
    </w:p>
    <w:p w:rsidR="001C3405" w:rsidRDefault="001C3405" w:rsidP="000D3C27">
      <w:pPr>
        <w:pStyle w:val="Cabealho"/>
        <w:jc w:val="both"/>
        <w:rPr>
          <w:sz w:val="26"/>
        </w:rPr>
      </w:pPr>
    </w:p>
    <w:p w:rsidR="001C3405" w:rsidRDefault="001C3405"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0D3C27" w:rsidRDefault="000D3C27" w:rsidP="000D3C27">
      <w:pPr>
        <w:pStyle w:val="Cabealho"/>
        <w:jc w:val="both"/>
        <w:rPr>
          <w:sz w:val="26"/>
        </w:rPr>
      </w:pPr>
    </w:p>
    <w:p w:rsidR="00721585" w:rsidRDefault="000D3C27" w:rsidP="000D3C27">
      <w:pPr>
        <w:pStyle w:val="NormalWeb"/>
        <w:spacing w:before="0" w:beforeAutospacing="0" w:after="0" w:afterAutospacing="0"/>
        <w:jc w:val="both"/>
        <w:rPr>
          <w:rFonts w:ascii="Times New Roman" w:hAnsi="Times New Roman" w:cs="Times New Roman"/>
          <w:sz w:val="16"/>
        </w:rPr>
      </w:pPr>
      <w:r>
        <w:rPr>
          <w:rFonts w:ascii="Times New Roman" w:hAnsi="Times New Roman" w:cs="Times New Roman"/>
          <w:sz w:val="16"/>
        </w:rPr>
        <w:t>tksa/plv21</w:t>
      </w:r>
      <w:r w:rsidR="001C3405">
        <w:rPr>
          <w:rFonts w:ascii="Times New Roman" w:hAnsi="Times New Roman" w:cs="Times New Roman"/>
          <w:sz w:val="16"/>
        </w:rPr>
        <w:t>-003</w:t>
      </w:r>
    </w:p>
    <w:sectPr w:rsidR="00721585" w:rsidSect="005556C9">
      <w:headerReference w:type="default" r:id="rId7"/>
      <w:pgSz w:w="11907" w:h="16840" w:code="9"/>
      <w:pgMar w:top="2948" w:right="851" w:bottom="1418" w:left="1418" w:header="720" w:footer="720" w:gutter="0"/>
      <w:paperSrc w:first="1" w:other="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CCF" w:rsidRDefault="00723CCF">
      <w:r>
        <w:separator/>
      </w:r>
    </w:p>
  </w:endnote>
  <w:endnote w:type="continuationSeparator" w:id="0">
    <w:p w:rsidR="00723CCF" w:rsidRDefault="00723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3">
    <w:altName w:val="Times New Roman"/>
    <w:panose1 w:val="00000000000000000000"/>
    <w:charset w:val="00"/>
    <w:family w:val="roman"/>
    <w:notTrueType/>
    <w:pitch w:val="default"/>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CCF" w:rsidRDefault="00723CCF">
      <w:r>
        <w:separator/>
      </w:r>
    </w:p>
  </w:footnote>
  <w:footnote w:type="continuationSeparator" w:id="0">
    <w:p w:rsidR="00723CCF" w:rsidRDefault="00723C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585" w:rsidRDefault="00721585">
    <w:pPr>
      <w:pStyle w:val="Cabealho"/>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00E71">
      <w:rPr>
        <w:rStyle w:val="Nmerodepgina"/>
        <w:noProof/>
      </w:rPr>
      <w:t>4</w:t>
    </w:r>
    <w:r>
      <w:rPr>
        <w:rStyle w:val="Nmerodepgina"/>
      </w:rPr>
      <w:fldChar w:fldCharType="end"/>
    </w:r>
  </w:p>
  <w:p w:rsidR="00721585" w:rsidRDefault="00721585">
    <w:pPr>
      <w:pStyle w:val="Cabealh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BA52B8"/>
    <w:multiLevelType w:val="singleLevel"/>
    <w:tmpl w:val="6CCC40FC"/>
    <w:lvl w:ilvl="0">
      <w:numFmt w:val="bullet"/>
      <w:lvlText w:val="-"/>
      <w:lvlJc w:val="left"/>
      <w:pPr>
        <w:tabs>
          <w:tab w:val="num" w:pos="2662"/>
        </w:tabs>
        <w:ind w:left="2662" w:hanging="360"/>
      </w:pPr>
      <w:rPr>
        <w:rFonts w:ascii="Times New Roman" w:hAnsi="Times New Roman" w:hint="default"/>
      </w:rPr>
    </w:lvl>
  </w:abstractNum>
  <w:abstractNum w:abstractNumId="2" w15:restartNumberingAfterBreak="0">
    <w:nsid w:val="0F3C1382"/>
    <w:multiLevelType w:val="singleLevel"/>
    <w:tmpl w:val="2244CDAA"/>
    <w:lvl w:ilvl="0">
      <w:start w:val="1"/>
      <w:numFmt w:val="lowerLetter"/>
      <w:lvlText w:val="%1)"/>
      <w:lvlJc w:val="left"/>
      <w:pPr>
        <w:tabs>
          <w:tab w:val="num" w:pos="2662"/>
        </w:tabs>
        <w:ind w:left="2662" w:hanging="360"/>
      </w:pPr>
      <w:rPr>
        <w:rFonts w:hint="default"/>
      </w:rPr>
    </w:lvl>
  </w:abstractNum>
  <w:abstractNum w:abstractNumId="3" w15:restartNumberingAfterBreak="0">
    <w:nsid w:val="3E2D78F0"/>
    <w:multiLevelType w:val="singleLevel"/>
    <w:tmpl w:val="0416000F"/>
    <w:lvl w:ilvl="0">
      <w:start w:val="1"/>
      <w:numFmt w:val="decimal"/>
      <w:lvlText w:val="%1."/>
      <w:lvlJc w:val="left"/>
      <w:pPr>
        <w:tabs>
          <w:tab w:val="num" w:pos="360"/>
        </w:tabs>
        <w:ind w:left="360" w:hanging="360"/>
      </w:pPr>
    </w:lvl>
  </w:abstractNum>
  <w:abstractNum w:abstractNumId="4" w15:restartNumberingAfterBreak="0">
    <w:nsid w:val="4A2520B7"/>
    <w:multiLevelType w:val="singleLevel"/>
    <w:tmpl w:val="8424DD90"/>
    <w:lvl w:ilvl="0">
      <w:start w:val="1"/>
      <w:numFmt w:val="lowerLetter"/>
      <w:lvlText w:val="%1)"/>
      <w:lvlJc w:val="left"/>
      <w:pPr>
        <w:tabs>
          <w:tab w:val="num" w:pos="3371"/>
        </w:tabs>
        <w:ind w:left="3371" w:hanging="360"/>
      </w:pPr>
      <w:rPr>
        <w:rFonts w:hint="default"/>
      </w:rPr>
    </w:lvl>
  </w:abstractNum>
  <w:abstractNum w:abstractNumId="5" w15:restartNumberingAfterBreak="0">
    <w:nsid w:val="5E8434B8"/>
    <w:multiLevelType w:val="singleLevel"/>
    <w:tmpl w:val="4E9C45D6"/>
    <w:lvl w:ilvl="0">
      <w:start w:val="1"/>
      <w:numFmt w:val="lowerLetter"/>
      <w:lvlText w:val="%1)"/>
      <w:lvlJc w:val="left"/>
      <w:pPr>
        <w:tabs>
          <w:tab w:val="num" w:pos="3271"/>
        </w:tabs>
        <w:ind w:left="3271" w:hanging="435"/>
      </w:pPr>
      <w:rPr>
        <w:rFonts w:hint="default"/>
      </w:rPr>
    </w:lvl>
  </w:abstractNum>
  <w:abstractNum w:abstractNumId="6" w15:restartNumberingAfterBreak="0">
    <w:nsid w:val="628A0B1D"/>
    <w:multiLevelType w:val="multilevel"/>
    <w:tmpl w:val="13505982"/>
    <w:lvl w:ilvl="0">
      <w:start w:val="1"/>
      <w:numFmt w:val="bullet"/>
      <w:lvlText w:val=""/>
      <w:lvlJc w:val="left"/>
      <w:pPr>
        <w:tabs>
          <w:tab w:val="num" w:pos="3022"/>
        </w:tabs>
        <w:ind w:left="3022" w:hanging="360"/>
      </w:pPr>
      <w:rPr>
        <w:rFonts w:ascii="Symbol" w:hAnsi="Symbol" w:hint="default"/>
      </w:rPr>
    </w:lvl>
    <w:lvl w:ilvl="1" w:tentative="1">
      <w:start w:val="1"/>
      <w:numFmt w:val="bullet"/>
      <w:lvlText w:val="o"/>
      <w:lvlJc w:val="left"/>
      <w:pPr>
        <w:tabs>
          <w:tab w:val="num" w:pos="3742"/>
        </w:tabs>
        <w:ind w:left="3742" w:hanging="360"/>
      </w:pPr>
      <w:rPr>
        <w:rFonts w:ascii="Courier New" w:hAnsi="Courier New" w:cs="Wingdings" w:hint="default"/>
      </w:rPr>
    </w:lvl>
    <w:lvl w:ilvl="2" w:tentative="1">
      <w:start w:val="1"/>
      <w:numFmt w:val="bullet"/>
      <w:lvlText w:val=""/>
      <w:lvlJc w:val="left"/>
      <w:pPr>
        <w:tabs>
          <w:tab w:val="num" w:pos="4462"/>
        </w:tabs>
        <w:ind w:left="4462" w:hanging="360"/>
      </w:pPr>
      <w:rPr>
        <w:rFonts w:ascii="Wingdings" w:hAnsi="Wingdings" w:hint="default"/>
      </w:rPr>
    </w:lvl>
    <w:lvl w:ilvl="3" w:tentative="1">
      <w:start w:val="1"/>
      <w:numFmt w:val="bullet"/>
      <w:lvlText w:val=""/>
      <w:lvlJc w:val="left"/>
      <w:pPr>
        <w:tabs>
          <w:tab w:val="num" w:pos="5182"/>
        </w:tabs>
        <w:ind w:left="5182" w:hanging="360"/>
      </w:pPr>
      <w:rPr>
        <w:rFonts w:ascii="Symbol" w:hAnsi="Symbol" w:hint="default"/>
      </w:rPr>
    </w:lvl>
    <w:lvl w:ilvl="4" w:tentative="1">
      <w:start w:val="1"/>
      <w:numFmt w:val="bullet"/>
      <w:lvlText w:val="o"/>
      <w:lvlJc w:val="left"/>
      <w:pPr>
        <w:tabs>
          <w:tab w:val="num" w:pos="5902"/>
        </w:tabs>
        <w:ind w:left="5902" w:hanging="360"/>
      </w:pPr>
      <w:rPr>
        <w:rFonts w:ascii="Courier New" w:hAnsi="Courier New" w:cs="Wingdings" w:hint="default"/>
      </w:rPr>
    </w:lvl>
    <w:lvl w:ilvl="5" w:tentative="1">
      <w:start w:val="1"/>
      <w:numFmt w:val="bullet"/>
      <w:lvlText w:val=""/>
      <w:lvlJc w:val="left"/>
      <w:pPr>
        <w:tabs>
          <w:tab w:val="num" w:pos="6622"/>
        </w:tabs>
        <w:ind w:left="6622" w:hanging="360"/>
      </w:pPr>
      <w:rPr>
        <w:rFonts w:ascii="Wingdings" w:hAnsi="Wingdings" w:hint="default"/>
      </w:rPr>
    </w:lvl>
    <w:lvl w:ilvl="6" w:tentative="1">
      <w:start w:val="1"/>
      <w:numFmt w:val="bullet"/>
      <w:lvlText w:val=""/>
      <w:lvlJc w:val="left"/>
      <w:pPr>
        <w:tabs>
          <w:tab w:val="num" w:pos="7342"/>
        </w:tabs>
        <w:ind w:left="7342" w:hanging="360"/>
      </w:pPr>
      <w:rPr>
        <w:rFonts w:ascii="Symbol" w:hAnsi="Symbol" w:hint="default"/>
      </w:rPr>
    </w:lvl>
    <w:lvl w:ilvl="7" w:tentative="1">
      <w:start w:val="1"/>
      <w:numFmt w:val="bullet"/>
      <w:lvlText w:val="o"/>
      <w:lvlJc w:val="left"/>
      <w:pPr>
        <w:tabs>
          <w:tab w:val="num" w:pos="8062"/>
        </w:tabs>
        <w:ind w:left="8062" w:hanging="360"/>
      </w:pPr>
      <w:rPr>
        <w:rFonts w:ascii="Courier New" w:hAnsi="Courier New" w:cs="Wingdings" w:hint="default"/>
      </w:rPr>
    </w:lvl>
    <w:lvl w:ilvl="8" w:tentative="1">
      <w:start w:val="1"/>
      <w:numFmt w:val="bullet"/>
      <w:lvlText w:val=""/>
      <w:lvlJc w:val="left"/>
      <w:pPr>
        <w:tabs>
          <w:tab w:val="num" w:pos="8782"/>
        </w:tabs>
        <w:ind w:left="8782" w:hanging="360"/>
      </w:pPr>
      <w:rPr>
        <w:rFonts w:ascii="Wingdings" w:hAnsi="Wingdings" w:hint="default"/>
      </w:rPr>
    </w:lvl>
  </w:abstractNum>
  <w:abstractNum w:abstractNumId="7" w15:restartNumberingAfterBreak="0">
    <w:nsid w:val="726C62EF"/>
    <w:multiLevelType w:val="singleLevel"/>
    <w:tmpl w:val="5E10F470"/>
    <w:lvl w:ilvl="0">
      <w:start w:val="1"/>
      <w:numFmt w:val="ordinal"/>
      <w:lvlText w:val="Art. %1 "/>
      <w:lvlJc w:val="left"/>
      <w:pPr>
        <w:tabs>
          <w:tab w:val="num" w:pos="1440"/>
        </w:tabs>
        <w:ind w:left="360" w:hanging="360"/>
      </w:pPr>
    </w:lvl>
  </w:abstractNum>
  <w:abstractNum w:abstractNumId="8" w15:restartNumberingAfterBreak="0">
    <w:nsid w:val="734F61E7"/>
    <w:multiLevelType w:val="multilevel"/>
    <w:tmpl w:val="5E88E7A4"/>
    <w:lvl w:ilvl="0">
      <w:start w:val="1"/>
      <w:numFmt w:val="bullet"/>
      <w:lvlText w:val=""/>
      <w:lvlJc w:val="left"/>
      <w:pPr>
        <w:tabs>
          <w:tab w:val="num" w:pos="3022"/>
        </w:tabs>
        <w:ind w:left="3022" w:hanging="360"/>
      </w:pPr>
      <w:rPr>
        <w:rFonts w:ascii="Symbol" w:hAnsi="Symbol" w:hint="default"/>
      </w:rPr>
    </w:lvl>
    <w:lvl w:ilvl="1" w:tentative="1">
      <w:start w:val="1"/>
      <w:numFmt w:val="bullet"/>
      <w:lvlText w:val="o"/>
      <w:lvlJc w:val="left"/>
      <w:pPr>
        <w:tabs>
          <w:tab w:val="num" w:pos="3742"/>
        </w:tabs>
        <w:ind w:left="3742" w:hanging="360"/>
      </w:pPr>
      <w:rPr>
        <w:rFonts w:ascii="Courier New" w:hAnsi="Courier New" w:cs="Wingdings" w:hint="default"/>
      </w:rPr>
    </w:lvl>
    <w:lvl w:ilvl="2" w:tentative="1">
      <w:start w:val="1"/>
      <w:numFmt w:val="bullet"/>
      <w:lvlText w:val=""/>
      <w:lvlJc w:val="left"/>
      <w:pPr>
        <w:tabs>
          <w:tab w:val="num" w:pos="4462"/>
        </w:tabs>
        <w:ind w:left="4462" w:hanging="360"/>
      </w:pPr>
      <w:rPr>
        <w:rFonts w:ascii="Wingdings" w:hAnsi="Wingdings" w:hint="default"/>
      </w:rPr>
    </w:lvl>
    <w:lvl w:ilvl="3" w:tentative="1">
      <w:start w:val="1"/>
      <w:numFmt w:val="bullet"/>
      <w:lvlText w:val=""/>
      <w:lvlJc w:val="left"/>
      <w:pPr>
        <w:tabs>
          <w:tab w:val="num" w:pos="5182"/>
        </w:tabs>
        <w:ind w:left="5182" w:hanging="360"/>
      </w:pPr>
      <w:rPr>
        <w:rFonts w:ascii="Symbol" w:hAnsi="Symbol" w:hint="default"/>
      </w:rPr>
    </w:lvl>
    <w:lvl w:ilvl="4" w:tentative="1">
      <w:start w:val="1"/>
      <w:numFmt w:val="bullet"/>
      <w:lvlText w:val="o"/>
      <w:lvlJc w:val="left"/>
      <w:pPr>
        <w:tabs>
          <w:tab w:val="num" w:pos="5902"/>
        </w:tabs>
        <w:ind w:left="5902" w:hanging="360"/>
      </w:pPr>
      <w:rPr>
        <w:rFonts w:ascii="Courier New" w:hAnsi="Courier New" w:cs="Wingdings" w:hint="default"/>
      </w:rPr>
    </w:lvl>
    <w:lvl w:ilvl="5" w:tentative="1">
      <w:start w:val="1"/>
      <w:numFmt w:val="bullet"/>
      <w:lvlText w:val=""/>
      <w:lvlJc w:val="left"/>
      <w:pPr>
        <w:tabs>
          <w:tab w:val="num" w:pos="6622"/>
        </w:tabs>
        <w:ind w:left="6622" w:hanging="360"/>
      </w:pPr>
      <w:rPr>
        <w:rFonts w:ascii="Wingdings" w:hAnsi="Wingdings" w:hint="default"/>
      </w:rPr>
    </w:lvl>
    <w:lvl w:ilvl="6" w:tentative="1">
      <w:start w:val="1"/>
      <w:numFmt w:val="bullet"/>
      <w:lvlText w:val=""/>
      <w:lvlJc w:val="left"/>
      <w:pPr>
        <w:tabs>
          <w:tab w:val="num" w:pos="7342"/>
        </w:tabs>
        <w:ind w:left="7342" w:hanging="360"/>
      </w:pPr>
      <w:rPr>
        <w:rFonts w:ascii="Symbol" w:hAnsi="Symbol" w:hint="default"/>
      </w:rPr>
    </w:lvl>
    <w:lvl w:ilvl="7" w:tentative="1">
      <w:start w:val="1"/>
      <w:numFmt w:val="bullet"/>
      <w:lvlText w:val="o"/>
      <w:lvlJc w:val="left"/>
      <w:pPr>
        <w:tabs>
          <w:tab w:val="num" w:pos="8062"/>
        </w:tabs>
        <w:ind w:left="8062" w:hanging="360"/>
      </w:pPr>
      <w:rPr>
        <w:rFonts w:ascii="Courier New" w:hAnsi="Courier New" w:cs="Wingdings" w:hint="default"/>
      </w:rPr>
    </w:lvl>
    <w:lvl w:ilvl="8" w:tentative="1">
      <w:start w:val="1"/>
      <w:numFmt w:val="bullet"/>
      <w:lvlText w:val=""/>
      <w:lvlJc w:val="left"/>
      <w:pPr>
        <w:tabs>
          <w:tab w:val="num" w:pos="8782"/>
        </w:tabs>
        <w:ind w:left="8782" w:hanging="360"/>
      </w:pPr>
      <w:rPr>
        <w:rFonts w:ascii="Wingdings" w:hAnsi="Wingdings" w:hint="default"/>
      </w:rPr>
    </w:lvl>
  </w:abstractNum>
  <w:num w:numId="1">
    <w:abstractNumId w:val="7"/>
  </w:num>
  <w:num w:numId="2">
    <w:abstractNumId w:val="2"/>
  </w:num>
  <w:num w:numId="3">
    <w:abstractNumId w:val="1"/>
  </w:num>
  <w:num w:numId="4">
    <w:abstractNumId w:val="3"/>
  </w:num>
  <w:num w:numId="5">
    <w:abstractNumId w:val="0"/>
  </w:num>
  <w:num w:numId="6">
    <w:abstractNumId w:val="6"/>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784"/>
    <w:rsid w:val="00000548"/>
    <w:rsid w:val="000119F9"/>
    <w:rsid w:val="000A5BDC"/>
    <w:rsid w:val="000C455A"/>
    <w:rsid w:val="000D3C27"/>
    <w:rsid w:val="000E4C0C"/>
    <w:rsid w:val="00175AB5"/>
    <w:rsid w:val="001C3405"/>
    <w:rsid w:val="001D09FD"/>
    <w:rsid w:val="0020637C"/>
    <w:rsid w:val="002A1B69"/>
    <w:rsid w:val="002E2A85"/>
    <w:rsid w:val="003100DA"/>
    <w:rsid w:val="00345E3D"/>
    <w:rsid w:val="003B5BBB"/>
    <w:rsid w:val="003E321E"/>
    <w:rsid w:val="00534DA3"/>
    <w:rsid w:val="005556C9"/>
    <w:rsid w:val="00597BC3"/>
    <w:rsid w:val="005D7C1D"/>
    <w:rsid w:val="00721585"/>
    <w:rsid w:val="00723CCF"/>
    <w:rsid w:val="00731805"/>
    <w:rsid w:val="00792E9D"/>
    <w:rsid w:val="007C455E"/>
    <w:rsid w:val="00800784"/>
    <w:rsid w:val="0081380D"/>
    <w:rsid w:val="008A5948"/>
    <w:rsid w:val="008B59D2"/>
    <w:rsid w:val="008C03F8"/>
    <w:rsid w:val="008F0D7E"/>
    <w:rsid w:val="00927271"/>
    <w:rsid w:val="009942A4"/>
    <w:rsid w:val="009F4A8B"/>
    <w:rsid w:val="00A62569"/>
    <w:rsid w:val="00AA17B7"/>
    <w:rsid w:val="00CB22BC"/>
    <w:rsid w:val="00D00E71"/>
    <w:rsid w:val="00D26C6D"/>
    <w:rsid w:val="00D91B6C"/>
    <w:rsid w:val="00E57F83"/>
    <w:rsid w:val="00E70709"/>
    <w:rsid w:val="00E93833"/>
    <w:rsid w:val="00F356D7"/>
    <w:rsid w:val="00FE0B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F76B0AB-9832-4B2B-B11F-3511153C0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2">
    <w:name w:val="heading 2"/>
    <w:basedOn w:val="Normal"/>
    <w:next w:val="Normal"/>
    <w:qFormat/>
    <w:pPr>
      <w:keepNext/>
      <w:jc w:val="center"/>
      <w:outlineLvl w:val="1"/>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enta">
    <w:name w:val="Ementa"/>
    <w:basedOn w:val="Normal"/>
    <w:pPr>
      <w:overflowPunct w:val="0"/>
      <w:autoSpaceDE w:val="0"/>
      <w:autoSpaceDN w:val="0"/>
      <w:adjustRightInd w:val="0"/>
      <w:spacing w:before="360" w:after="360"/>
      <w:ind w:left="4253" w:firstLine="567"/>
      <w:jc w:val="both"/>
      <w:textAlignment w:val="baseline"/>
    </w:pPr>
    <w:rPr>
      <w:i/>
      <w:sz w:val="26"/>
      <w:szCs w:val="20"/>
    </w:rPr>
  </w:style>
  <w:style w:type="paragraph" w:customStyle="1" w:styleId="Artigo">
    <w:name w:val="Artigo"/>
    <w:basedOn w:val="Normal"/>
    <w:pPr>
      <w:spacing w:before="240"/>
      <w:ind w:firstLine="1134"/>
      <w:jc w:val="both"/>
    </w:pPr>
    <w:rPr>
      <w:rFonts w:ascii="13" w:hAnsi="13"/>
      <w:b/>
      <w:sz w:val="26"/>
    </w:rPr>
  </w:style>
  <w:style w:type="paragraph" w:customStyle="1" w:styleId="Pargrafo">
    <w:name w:val="Parágrafo"/>
    <w:basedOn w:val="Normal"/>
    <w:pPr>
      <w:spacing w:before="120"/>
      <w:ind w:firstLine="1418"/>
    </w:pPr>
    <w:rPr>
      <w:rFonts w:ascii="Times New (W1)" w:hAnsi="Times New (W1)"/>
      <w:sz w:val="26"/>
    </w:rPr>
  </w:style>
  <w:style w:type="paragraph" w:customStyle="1" w:styleId="Tit">
    <w:name w:val="Tit"/>
    <w:basedOn w:val="Normal"/>
    <w:pPr>
      <w:spacing w:before="120"/>
      <w:jc w:val="center"/>
    </w:pPr>
    <w:rPr>
      <w:rFonts w:ascii="Times New (W1)" w:hAnsi="Times New (W1)"/>
      <w:caps/>
      <w:sz w:val="26"/>
    </w:rPr>
  </w:style>
  <w:style w:type="paragraph" w:customStyle="1" w:styleId="Seo">
    <w:name w:val="Seção"/>
    <w:basedOn w:val="Normal"/>
    <w:rPr>
      <w:rFonts w:ascii="Times New (W1)" w:hAnsi="Times New (W1)"/>
      <w:b/>
      <w:sz w:val="26"/>
    </w:rPr>
  </w:style>
  <w:style w:type="paragraph" w:customStyle="1" w:styleId="Red">
    <w:name w:val="Red"/>
    <w:basedOn w:val="Normal"/>
    <w:pPr>
      <w:overflowPunct w:val="0"/>
      <w:autoSpaceDE w:val="0"/>
      <w:autoSpaceDN w:val="0"/>
      <w:adjustRightInd w:val="0"/>
      <w:spacing w:before="360" w:after="360"/>
      <w:ind w:left="4536" w:firstLine="567"/>
      <w:jc w:val="both"/>
      <w:textAlignment w:val="baseline"/>
    </w:pPr>
    <w:rPr>
      <w:sz w:val="26"/>
      <w:szCs w:val="20"/>
    </w:rPr>
  </w:style>
  <w:style w:type="paragraph" w:customStyle="1" w:styleId="TtuloParecer">
    <w:name w:val="Título Parecer"/>
    <w:basedOn w:val="Normal"/>
    <w:pPr>
      <w:overflowPunct w:val="0"/>
      <w:autoSpaceDE w:val="0"/>
      <w:autoSpaceDN w:val="0"/>
      <w:adjustRightInd w:val="0"/>
      <w:jc w:val="center"/>
      <w:textAlignment w:val="baseline"/>
    </w:pPr>
    <w:rPr>
      <w:b/>
      <w:sz w:val="32"/>
      <w:szCs w:val="20"/>
      <w:lang w:val="pt-PT"/>
    </w:rPr>
  </w:style>
  <w:style w:type="paragraph" w:customStyle="1" w:styleId="Anexo">
    <w:name w:val="Anexo"/>
    <w:basedOn w:val="Normal"/>
    <w:pPr>
      <w:overflowPunct w:val="0"/>
      <w:autoSpaceDE w:val="0"/>
      <w:autoSpaceDN w:val="0"/>
      <w:adjustRightInd w:val="0"/>
      <w:jc w:val="both"/>
      <w:textAlignment w:val="baseline"/>
    </w:pPr>
    <w:rPr>
      <w:b/>
      <w:sz w:val="26"/>
      <w:szCs w:val="20"/>
      <w:lang w:val="pt-PT"/>
    </w:rPr>
  </w:style>
  <w:style w:type="paragraph" w:customStyle="1" w:styleId="TtuloProjeto">
    <w:name w:val="Título Projeto"/>
    <w:basedOn w:val="Normal"/>
    <w:pPr>
      <w:overflowPunct w:val="0"/>
      <w:autoSpaceDE w:val="0"/>
      <w:autoSpaceDN w:val="0"/>
      <w:adjustRightInd w:val="0"/>
      <w:ind w:left="4537" w:firstLine="709"/>
      <w:jc w:val="both"/>
      <w:textAlignment w:val="baseline"/>
    </w:pPr>
    <w:rPr>
      <w:sz w:val="26"/>
      <w:szCs w:val="20"/>
      <w:lang w:val="pt-PT"/>
    </w:rPr>
  </w:style>
  <w:style w:type="paragraph" w:styleId="Cabealho">
    <w:name w:val="header"/>
    <w:basedOn w:val="Normal"/>
    <w:pPr>
      <w:tabs>
        <w:tab w:val="center" w:pos="4419"/>
        <w:tab w:val="right" w:pos="8838"/>
      </w:tabs>
      <w:overflowPunct w:val="0"/>
      <w:autoSpaceDE w:val="0"/>
      <w:autoSpaceDN w:val="0"/>
      <w:adjustRightInd w:val="0"/>
      <w:textAlignment w:val="baseline"/>
    </w:pPr>
    <w:rPr>
      <w:sz w:val="20"/>
      <w:szCs w:val="20"/>
    </w:rPr>
  </w:style>
  <w:style w:type="character" w:styleId="Nmerodepgina">
    <w:name w:val="page number"/>
    <w:basedOn w:val="Fontepargpadro"/>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paragraph" w:styleId="Ttulo">
    <w:name w:val="Title"/>
    <w:basedOn w:val="Normal"/>
    <w:qFormat/>
    <w:pPr>
      <w:tabs>
        <w:tab w:val="left" w:pos="3119"/>
        <w:tab w:val="left" w:pos="4536"/>
      </w:tabs>
      <w:overflowPunct w:val="0"/>
      <w:autoSpaceDE w:val="0"/>
      <w:autoSpaceDN w:val="0"/>
      <w:adjustRightInd w:val="0"/>
      <w:spacing w:before="120" w:line="360" w:lineRule="atLeast"/>
      <w:jc w:val="center"/>
      <w:textAlignment w:val="baseline"/>
    </w:pPr>
    <w:rPr>
      <w:b/>
      <w:sz w:val="32"/>
      <w:szCs w:val="20"/>
    </w:rPr>
  </w:style>
  <w:style w:type="paragraph" w:customStyle="1" w:styleId="ArtigoArt">
    <w:name w:val="Artigo/Art"/>
    <w:basedOn w:val="Ttulo"/>
    <w:pPr>
      <w:spacing w:before="240" w:line="240" w:lineRule="auto"/>
      <w:ind w:left="1134" w:right="851" w:firstLine="284"/>
      <w:jc w:val="both"/>
    </w:pPr>
    <w:rPr>
      <w:rFonts w:ascii="Times New (W1)" w:hAnsi="Times New (W1)"/>
      <w:b w:val="0"/>
      <w:sz w:val="26"/>
    </w:rPr>
  </w:style>
  <w:style w:type="paragraph" w:customStyle="1" w:styleId="ArtigoPargrafo">
    <w:name w:val="Artigo/Parágrafo"/>
    <w:basedOn w:val="Ttulo"/>
    <w:pPr>
      <w:spacing w:line="240" w:lineRule="auto"/>
      <w:ind w:left="1134" w:right="851" w:firstLine="567"/>
      <w:jc w:val="both"/>
    </w:pPr>
    <w:rPr>
      <w:rFonts w:ascii="Times New (W1)" w:hAnsi="Times New (W1)"/>
      <w:b w:val="0"/>
      <w:sz w:val="26"/>
    </w:rPr>
  </w:style>
  <w:style w:type="paragraph" w:customStyle="1" w:styleId="texto1">
    <w:name w:val="texto 1"/>
    <w:basedOn w:val="Normal"/>
    <w:pPr>
      <w:tabs>
        <w:tab w:val="left" w:leader="dot" w:pos="8505"/>
      </w:tabs>
      <w:spacing w:line="360" w:lineRule="auto"/>
      <w:ind w:firstLine="1418"/>
      <w:jc w:val="both"/>
    </w:pPr>
    <w:rPr>
      <w:rFonts w:ascii="Courier New" w:hAnsi="Courier New"/>
      <w:b/>
      <w:snapToGrid w:val="0"/>
      <w:szCs w:val="20"/>
    </w:rPr>
  </w:style>
  <w:style w:type="character" w:styleId="Forte">
    <w:name w:val="Strong"/>
    <w:qFormat/>
    <w:rPr>
      <w:b/>
    </w:rPr>
  </w:style>
  <w:style w:type="paragraph" w:customStyle="1" w:styleId="ementa0">
    <w:name w:val="ementa"/>
    <w:basedOn w:val="Normal"/>
    <w:autoRedefine/>
    <w:pPr>
      <w:spacing w:line="192" w:lineRule="auto"/>
      <w:ind w:left="3538"/>
      <w:jc w:val="both"/>
    </w:pPr>
    <w:rPr>
      <w:rFonts w:ascii="Courier New" w:hAnsi="Courier New"/>
      <w:b/>
      <w:snapToGrid w:val="0"/>
      <w:szCs w:val="20"/>
    </w:rPr>
  </w:style>
  <w:style w:type="paragraph" w:customStyle="1" w:styleId="texto3">
    <w:name w:val="texto 3"/>
    <w:basedOn w:val="Normal"/>
    <w:pPr>
      <w:tabs>
        <w:tab w:val="left" w:leader="dot" w:pos="7655"/>
      </w:tabs>
      <w:spacing w:line="360" w:lineRule="auto"/>
      <w:ind w:firstLine="1418"/>
      <w:jc w:val="both"/>
    </w:pPr>
    <w:rPr>
      <w:rFonts w:ascii="Courier New" w:hAnsi="Courier New"/>
      <w:b/>
      <w:snapToGrid w:val="0"/>
      <w:szCs w:val="20"/>
    </w:rPr>
  </w:style>
  <w:style w:type="paragraph" w:customStyle="1" w:styleId="texto2">
    <w:name w:val="texto 2"/>
    <w:basedOn w:val="Normal"/>
    <w:pPr>
      <w:tabs>
        <w:tab w:val="left" w:leader="dot" w:pos="8505"/>
      </w:tabs>
      <w:spacing w:line="360" w:lineRule="auto"/>
      <w:ind w:left="1418" w:firstLine="1418"/>
      <w:jc w:val="both"/>
    </w:pPr>
    <w:rPr>
      <w:rFonts w:ascii="Courier New" w:hAnsi="Courier New"/>
      <w:b/>
      <w:snapToGrid w:val="0"/>
      <w:szCs w:val="20"/>
    </w:rPr>
  </w:style>
  <w:style w:type="character" w:customStyle="1" w:styleId="Hiperlink">
    <w:name w:val="Hiperlink"/>
    <w:rPr>
      <w:color w:val="0000FF"/>
      <w:u w:val="single"/>
    </w:rPr>
  </w:style>
  <w:style w:type="paragraph" w:styleId="Recuodecorpodetexto2">
    <w:name w:val="Body Text Indent 2"/>
    <w:basedOn w:val="Normal"/>
    <w:pPr>
      <w:ind w:left="4962"/>
      <w:jc w:val="both"/>
    </w:pPr>
    <w:rPr>
      <w:rFonts w:ascii="Arial" w:hAnsi="Arial"/>
      <w:color w:val="800000"/>
      <w:sz w:val="20"/>
      <w:szCs w:val="20"/>
    </w:rPr>
  </w:style>
  <w:style w:type="paragraph" w:customStyle="1" w:styleId="H2">
    <w:name w:val="H2"/>
    <w:basedOn w:val="Normal"/>
    <w:next w:val="Normal"/>
    <w:pPr>
      <w:keepNext/>
      <w:spacing w:before="100" w:after="100"/>
      <w:outlineLvl w:val="2"/>
    </w:pPr>
    <w:rPr>
      <w:b/>
      <w:snapToGrid w:val="0"/>
      <w:sz w:val="36"/>
      <w:szCs w:val="20"/>
    </w:rPr>
  </w:style>
  <w:style w:type="paragraph" w:customStyle="1" w:styleId="assinatura">
    <w:name w:val="assinatura"/>
    <w:basedOn w:val="Normal"/>
    <w:pPr>
      <w:suppressAutoHyphens/>
      <w:jc w:val="center"/>
    </w:pPr>
    <w:rPr>
      <w:rFonts w:ascii="Courier New" w:hAnsi="Courier New"/>
      <w:b/>
      <w:szCs w:val="20"/>
    </w:rPr>
  </w:style>
  <w:style w:type="character" w:styleId="Hyperlink">
    <w:name w:val="Hyperlink"/>
    <w:rPr>
      <w:color w:val="0000FF"/>
      <w:u w:val="single"/>
    </w:rPr>
  </w:style>
  <w:style w:type="character" w:styleId="HiperlinkVisitado">
    <w:name w:val="FollowedHyperlink"/>
    <w:rPr>
      <w:color w:val="800080"/>
      <w:u w:val="single"/>
    </w:rPr>
  </w:style>
  <w:style w:type="paragraph" w:styleId="Recuodecorpodetexto">
    <w:name w:val="Body Text Indent"/>
    <w:basedOn w:val="Normal"/>
    <w:link w:val="RecuodecorpodetextoChar"/>
    <w:rsid w:val="008F0D7E"/>
    <w:pPr>
      <w:spacing w:after="120"/>
      <w:ind w:left="283"/>
    </w:pPr>
  </w:style>
  <w:style w:type="character" w:customStyle="1" w:styleId="RecuodecorpodetextoChar">
    <w:name w:val="Recuo de corpo de texto Char"/>
    <w:link w:val="Recuodecorpodetexto"/>
    <w:rsid w:val="008F0D7E"/>
    <w:rPr>
      <w:sz w:val="24"/>
      <w:szCs w:val="24"/>
    </w:rPr>
  </w:style>
  <w:style w:type="paragraph" w:customStyle="1" w:styleId="TITUL">
    <w:name w:val="TITUL"/>
    <w:basedOn w:val="Normal"/>
    <w:rsid w:val="001C3405"/>
    <w:pPr>
      <w:overflowPunct w:val="0"/>
      <w:autoSpaceDE w:val="0"/>
      <w:autoSpaceDN w:val="0"/>
      <w:adjustRightInd w:val="0"/>
      <w:spacing w:before="360" w:after="360"/>
      <w:jc w:val="center"/>
      <w:textAlignment w:val="baseline"/>
    </w:pPr>
    <w:rPr>
      <w:caps/>
      <w:sz w:val="26"/>
      <w:szCs w:val="26"/>
    </w:rPr>
  </w:style>
  <w:style w:type="paragraph" w:customStyle="1" w:styleId="Emenda">
    <w:name w:val="Emenda"/>
    <w:basedOn w:val="Normal"/>
    <w:rsid w:val="001C3405"/>
    <w:pPr>
      <w:overflowPunct w:val="0"/>
      <w:autoSpaceDE w:val="0"/>
      <w:autoSpaceDN w:val="0"/>
      <w:adjustRightInd w:val="0"/>
      <w:spacing w:before="360" w:after="120"/>
      <w:jc w:val="center"/>
      <w:textAlignment w:val="baseline"/>
    </w:pPr>
    <w:rPr>
      <w:sz w:val="26"/>
      <w:szCs w:val="26"/>
    </w:rPr>
  </w:style>
  <w:style w:type="paragraph" w:customStyle="1" w:styleId="Artart">
    <w:name w:val="Art/art"/>
    <w:basedOn w:val="Normal"/>
    <w:rsid w:val="001C3405"/>
    <w:pPr>
      <w:spacing w:before="120"/>
      <w:ind w:left="1134" w:right="851" w:firstLine="28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audiaa\Dados%20de%20aplicativos\Microsoft\Modelos\PLVrf.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PLVrf</Template>
  <TotalTime>0</TotalTime>
  <Pages>4</Pages>
  <Words>1116</Words>
  <Characters>6032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COMISSÃO DIRETORA</vt:lpstr>
    </vt:vector>
  </TitlesOfParts>
  <Company>Senado Federal</Company>
  <LinksUpToDate>false</LinksUpToDate>
  <CharactersWithSpaces>7134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 DIRETORA</dc:title>
  <dc:subject/>
  <dc:creator>SF</dc:creator>
  <cp:keywords/>
  <dc:description/>
  <cp:lastModifiedBy>Paulo Campos</cp:lastModifiedBy>
  <cp:revision>2</cp:revision>
  <cp:lastPrinted>2007-08-08T18:26:00Z</cp:lastPrinted>
  <dcterms:created xsi:type="dcterms:W3CDTF">2021-05-19T12:40:00Z</dcterms:created>
  <dcterms:modified xsi:type="dcterms:W3CDTF">2021-05-19T12:40:00Z</dcterms:modified>
</cp:coreProperties>
</file>