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spacing w:before="8" w:after="0"/>
        <w:rPr>
          <w:rFonts w:ascii="Times New Roman" w:hAnsi="Times New Roman"/>
          <w:sz w:val="25"/>
        </w:rPr>
      </w:pPr>
      <w:r>
        <w:rPr>
          <w:rFonts w:ascii="Times New Roman" w:hAnsi="Times New Roman"/>
          <w:sz w:val="25"/>
        </w:rPr>
      </w:r>
    </w:p>
    <w:p>
      <w:pPr>
        <w:pStyle w:val="Normal"/>
        <w:spacing w:before="92" w:after="0"/>
        <w:ind w:left="303" w:right="323" w:hanging="0"/>
        <w:jc w:val="center"/>
        <w:rPr>
          <w:rFonts w:ascii="Arial" w:hAnsi="Arial"/>
          <w:b/>
          <w:b/>
          <w:sz w:val="27"/>
        </w:rPr>
      </w:pPr>
      <w:r>
        <w:rPr>
          <w:rFonts w:ascii="Arial" w:hAnsi="Arial"/>
          <w:b/>
          <w:sz w:val="27"/>
        </w:rPr>
        <w:t xml:space="preserve">COMISSÃO </w:t>
      </w:r>
      <w:r>
        <w:rPr>
          <w:rFonts w:eastAsia="Arial MT" w:cs="Arial MT" w:ascii="Arial" w:hAnsi="Arial"/>
          <w:b/>
          <w:sz w:val="27"/>
          <w:lang w:val="pt-PT" w:eastAsia="en-US" w:bidi="ar-SA"/>
        </w:rPr>
        <w:t xml:space="preserve">DE </w:t>
      </w:r>
      <w:r>
        <w:rPr>
          <w:rFonts w:eastAsia="Arial MT" w:cs="Arial MT" w:ascii="Arial" w:hAnsi="Arial"/>
          <w:b/>
          <w:color w:val="auto"/>
          <w:kern w:val="0"/>
          <w:sz w:val="27"/>
          <w:szCs w:val="22"/>
          <w:lang w:val="pt-PT" w:eastAsia="en-US" w:bidi="ar-SA"/>
        </w:rPr>
        <w:t>DIREITO DO CONSUMIDOR</w:t>
      </w:r>
    </w:p>
    <w:p>
      <w:pPr>
        <w:pStyle w:val="Corpodotexto"/>
        <w:rPr>
          <w:rFonts w:ascii="Arial" w:hAnsi="Arial"/>
          <w:b/>
          <w:b/>
          <w:sz w:val="30"/>
        </w:rPr>
      </w:pPr>
      <w:r>
        <w:rPr>
          <w:rFonts w:ascii="Arial" w:hAnsi="Arial"/>
          <w:b/>
          <w:sz w:val="30"/>
        </w:rPr>
      </w:r>
    </w:p>
    <w:p>
      <w:pPr>
        <w:pStyle w:val="Corpodotexto"/>
        <w:rPr>
          <w:rFonts w:ascii="Arial" w:hAnsi="Arial"/>
          <w:b/>
          <w:b/>
          <w:sz w:val="30"/>
        </w:rPr>
      </w:pPr>
      <w:r>
        <w:rPr>
          <w:rFonts w:ascii="Arial" w:hAnsi="Arial"/>
          <w:b/>
          <w:sz w:val="30"/>
        </w:rPr>
      </w:r>
    </w:p>
    <w:p>
      <w:pPr>
        <w:pStyle w:val="Corpodotexto"/>
        <w:rPr>
          <w:rFonts w:ascii="Arial" w:hAnsi="Arial"/>
          <w:b/>
          <w:b/>
          <w:sz w:val="30"/>
        </w:rPr>
      </w:pPr>
      <w:r>
        <w:rPr>
          <w:rFonts w:ascii="Arial" w:hAnsi="Arial"/>
          <w:b/>
          <w:sz w:val="30"/>
        </w:rPr>
      </w:r>
    </w:p>
    <w:p>
      <w:pPr>
        <w:pStyle w:val="Corpodotexto"/>
        <w:rPr>
          <w:rFonts w:ascii="Arial" w:hAnsi="Arial"/>
          <w:b/>
          <w:b/>
          <w:sz w:val="30"/>
        </w:rPr>
      </w:pPr>
      <w:r>
        <w:rPr>
          <w:rFonts w:ascii="Arial" w:hAnsi="Arial"/>
          <w:b/>
          <w:sz w:val="30"/>
        </w:rPr>
      </w:r>
    </w:p>
    <w:p>
      <w:pPr>
        <w:pStyle w:val="Corpodotexto"/>
        <w:rPr>
          <w:rFonts w:ascii="Arial" w:hAnsi="Arial"/>
          <w:b/>
          <w:b/>
          <w:sz w:val="30"/>
        </w:rPr>
      </w:pPr>
      <w:r>
        <w:rPr>
          <w:rFonts w:ascii="Arial" w:hAnsi="Arial"/>
          <w:b/>
          <w:sz w:val="30"/>
        </w:rPr>
      </w:r>
    </w:p>
    <w:p>
      <w:pPr>
        <w:pStyle w:val="Corpodotexto"/>
        <w:rPr>
          <w:rFonts w:ascii="Arial" w:hAnsi="Arial"/>
          <w:b/>
          <w:b/>
          <w:sz w:val="30"/>
        </w:rPr>
      </w:pPr>
      <w:r>
        <w:rPr>
          <w:rFonts w:ascii="Arial" w:hAnsi="Arial"/>
          <w:b/>
          <w:sz w:val="30"/>
        </w:rPr>
      </w:r>
    </w:p>
    <w:p>
      <w:pPr>
        <w:pStyle w:val="Corpodotexto"/>
        <w:spacing w:before="1" w:after="0"/>
        <w:rPr>
          <w:rFonts w:ascii="Arial" w:hAnsi="Arial"/>
          <w:b/>
          <w:b/>
          <w:sz w:val="27"/>
        </w:rPr>
      </w:pPr>
      <w:r>
        <w:rPr>
          <w:rFonts w:ascii="Arial" w:hAnsi="Arial"/>
          <w:b/>
          <w:sz w:val="27"/>
        </w:rPr>
      </w:r>
    </w:p>
    <w:p>
      <w:pPr>
        <w:pStyle w:val="Ttulo1"/>
        <w:ind w:left="302" w:right="323" w:hanging="0"/>
        <w:rPr/>
      </w:pPr>
      <w:r>
        <w:rPr/>
        <w:t>REQUERIMENTO</w:t>
      </w:r>
      <w:r>
        <w:rPr>
          <w:spacing w:val="-6"/>
        </w:rPr>
        <w:t xml:space="preserve"> </w:t>
      </w:r>
      <w:r>
        <w:rPr/>
        <w:t>DE</w:t>
      </w:r>
      <w:r>
        <w:rPr>
          <w:spacing w:val="2"/>
        </w:rPr>
        <w:t xml:space="preserve"> </w:t>
      </w:r>
      <w:r>
        <w:rPr/>
        <w:t>AUDIÊNCIA</w:t>
      </w:r>
      <w:r>
        <w:rPr>
          <w:spacing w:val="-9"/>
        </w:rPr>
        <w:t xml:space="preserve"> </w:t>
      </w:r>
      <w:r>
        <w:rPr/>
        <w:t>PÚBLICA</w:t>
      </w:r>
      <w:r>
        <w:rPr>
          <w:spacing w:val="-9"/>
        </w:rPr>
        <w:t xml:space="preserve"> </w:t>
      </w:r>
      <w:r>
        <w:rPr/>
        <w:t>Nº</w:t>
      </w:r>
    </w:p>
    <w:p>
      <w:pPr>
        <w:pStyle w:val="Normal"/>
        <w:spacing w:before="162" w:after="0"/>
        <w:ind w:left="303" w:right="319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(Do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Sr. </w:t>
      </w:r>
      <w:r>
        <w:rPr>
          <w:rFonts w:eastAsia="Arial MT" w:cs="Arial MT" w:ascii="Arial" w:hAnsi="Arial"/>
          <w:b/>
          <w:sz w:val="24"/>
          <w:lang w:val="pt-PT" w:eastAsia="en-US" w:bidi="ar-SA"/>
        </w:rPr>
        <w:t>Pedro Vilela</w:t>
      </w:r>
      <w:r>
        <w:rPr>
          <w:rFonts w:ascii="Arial" w:hAnsi="Arial"/>
          <w:b/>
          <w:sz w:val="24"/>
        </w:rPr>
        <w:t>)</w:t>
      </w:r>
    </w:p>
    <w:p>
      <w:pPr>
        <w:pStyle w:val="Corpodotexto"/>
        <w:rPr>
          <w:rFonts w:ascii="Arial" w:hAnsi="Arial"/>
          <w:b/>
          <w:b/>
          <w:sz w:val="26"/>
        </w:rPr>
      </w:pPr>
      <w:r>
        <w:rPr>
          <w:rFonts w:ascii="Arial" w:hAnsi="Arial"/>
          <w:b/>
          <w:sz w:val="26"/>
        </w:rPr>
      </w:r>
    </w:p>
    <w:p>
      <w:pPr>
        <w:pStyle w:val="Corpodotexto"/>
        <w:rPr>
          <w:rFonts w:ascii="Arial" w:hAnsi="Arial"/>
          <w:b/>
          <w:b/>
          <w:sz w:val="26"/>
        </w:rPr>
      </w:pPr>
      <w:r>
        <w:rPr>
          <w:rFonts w:ascii="Arial" w:hAnsi="Arial"/>
          <w:b/>
          <w:sz w:val="26"/>
        </w:rPr>
      </w:r>
    </w:p>
    <w:p>
      <w:pPr>
        <w:pStyle w:val="Corpodotexto"/>
        <w:rPr>
          <w:rFonts w:ascii="Arial" w:hAnsi="Arial"/>
          <w:b/>
          <w:b/>
          <w:sz w:val="26"/>
        </w:rPr>
      </w:pPr>
      <w:r>
        <w:rPr>
          <w:rFonts w:ascii="Arial" w:hAnsi="Arial"/>
          <w:b/>
          <w:sz w:val="26"/>
        </w:rPr>
      </w:r>
    </w:p>
    <w:p>
      <w:pPr>
        <w:pStyle w:val="Corpodotexto"/>
        <w:spacing w:lineRule="auto" w:line="240" w:before="195" w:after="0"/>
        <w:ind w:left="3844" w:right="116" w:firstLine="720"/>
        <w:jc w:val="both"/>
        <w:rPr/>
      </w:pPr>
      <w:r>
        <w:rPr/>
        <w:t>Requer que seja realizada Audiência</w:t>
      </w:r>
      <w:r>
        <w:rPr>
          <w:spacing w:val="1"/>
        </w:rPr>
        <w:t xml:space="preserve"> </w:t>
      </w:r>
      <w:r>
        <w:rPr/>
        <w:t>Pública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promover</w:t>
      </w:r>
      <w:r>
        <w:rPr>
          <w:spacing w:val="1"/>
        </w:rPr>
        <w:t xml:space="preserve"> </w:t>
      </w:r>
      <w:r>
        <w:rPr/>
        <w:t>estudos voltad</w:t>
      </w:r>
      <w:r>
        <w:rPr/>
        <w:t>o</w:t>
      </w:r>
      <w:r>
        <w:rPr/>
        <w:t xml:space="preserve">s à </w:t>
      </w:r>
      <w:r>
        <w:rPr/>
        <w:t>propostas de atualização do Código de Defesa do Consumidor, Lei nº 8.078/90.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spacing w:before="225" w:after="0"/>
        <w:ind w:left="2404" w:right="0" w:hanging="0"/>
        <w:rPr/>
      </w:pPr>
      <w:r>
        <w:rPr/>
        <w:t>Senhor</w:t>
      </w:r>
      <w:r>
        <w:rPr>
          <w:spacing w:val="-3"/>
        </w:rPr>
        <w:t xml:space="preserve"> </w:t>
      </w:r>
      <w:r>
        <w:rPr/>
        <w:t>Presidente: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rPr>
          <w:sz w:val="23"/>
        </w:rPr>
      </w:pPr>
      <w:r>
        <w:rPr>
          <w:sz w:val="23"/>
        </w:rPr>
      </w:r>
    </w:p>
    <w:p>
      <w:pPr>
        <w:pStyle w:val="Corpodotexto"/>
        <w:spacing w:lineRule="auto" w:line="312"/>
        <w:ind w:left="102" w:right="120" w:firstLine="2302"/>
        <w:jc w:val="both"/>
        <w:rPr/>
      </w:pPr>
      <w:r>
        <w:rPr/>
        <w:t>Requeiro a V. Exa., nos termos do art. 255, do Regimento</w:t>
      </w:r>
      <w:r>
        <w:rPr>
          <w:spacing w:val="-64"/>
        </w:rPr>
        <w:t xml:space="preserve"> </w:t>
      </w:r>
      <w:r>
        <w:rPr/>
        <w:t>Interno,</w:t>
      </w:r>
      <w:r>
        <w:rPr>
          <w:spacing w:val="1"/>
        </w:rPr>
        <w:t xml:space="preserve"> que seja designada audiência pública para promover estudos voltad</w:t>
      </w:r>
      <w:r>
        <w:rPr>
          <w:spacing w:val="1"/>
        </w:rPr>
        <w:t>o</w:t>
      </w:r>
      <w:r>
        <w:rPr>
          <w:spacing w:val="1"/>
        </w:rPr>
        <w:t xml:space="preserve">s à </w:t>
      </w:r>
      <w:r>
        <w:rPr>
          <w:spacing w:val="1"/>
        </w:rPr>
        <w:t>propostas de atualização do Código de Defesa do Consumidor, Lei nº 8.078/90</w:t>
      </w:r>
      <w:r>
        <w:rPr>
          <w:spacing w:val="1"/>
        </w:rPr>
        <w:t xml:space="preserve">, ocasião em que </w:t>
      </w:r>
      <w:r>
        <w:rPr/>
        <w:t>sejam</w:t>
      </w:r>
      <w:r>
        <w:rPr>
          <w:spacing w:val="1"/>
        </w:rPr>
        <w:t xml:space="preserve"> </w:t>
      </w:r>
      <w:r>
        <w:rPr/>
        <w:t>convidados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comparecer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esta</w:t>
      </w:r>
      <w:r>
        <w:rPr>
          <w:spacing w:val="1"/>
        </w:rPr>
        <w:t xml:space="preserve"> </w:t>
      </w:r>
      <w:r>
        <w:rPr/>
        <w:t>Comissão,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reunião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Audiência</w:t>
      </w:r>
      <w:r>
        <w:rPr>
          <w:spacing w:val="13"/>
        </w:rPr>
        <w:t xml:space="preserve"> </w:t>
      </w:r>
      <w:r>
        <w:rPr/>
        <w:t>Pública</w:t>
      </w:r>
      <w:r>
        <w:rPr>
          <w:spacing w:val="13"/>
        </w:rPr>
        <w:t xml:space="preserve"> </w:t>
      </w:r>
      <w:r>
        <w:rPr/>
        <w:t>a</w:t>
      </w:r>
      <w:r>
        <w:rPr>
          <w:spacing w:val="13"/>
        </w:rPr>
        <w:t xml:space="preserve"> </w:t>
      </w:r>
      <w:r>
        <w:rPr/>
        <w:t>realizar-se</w:t>
      </w:r>
      <w:r>
        <w:rPr>
          <w:spacing w:val="13"/>
        </w:rPr>
        <w:t xml:space="preserve"> </w:t>
      </w:r>
      <w:r>
        <w:rPr/>
        <w:t>em</w:t>
      </w:r>
      <w:r>
        <w:rPr>
          <w:spacing w:val="15"/>
        </w:rPr>
        <w:t xml:space="preserve"> </w:t>
      </w:r>
      <w:r>
        <w:rPr/>
        <w:t>data</w:t>
      </w:r>
      <w:r>
        <w:rPr>
          <w:spacing w:val="11"/>
        </w:rPr>
        <w:t xml:space="preserve"> </w:t>
      </w:r>
      <w:r>
        <w:rPr/>
        <w:t>a</w:t>
      </w:r>
      <w:r>
        <w:rPr>
          <w:spacing w:val="13"/>
        </w:rPr>
        <w:t xml:space="preserve"> </w:t>
      </w:r>
      <w:r>
        <w:rPr/>
        <w:t>ser</w:t>
      </w:r>
      <w:r>
        <w:rPr>
          <w:spacing w:val="14"/>
        </w:rPr>
        <w:t xml:space="preserve"> </w:t>
      </w:r>
      <w:r>
        <w:rPr/>
        <w:t>agendada, os seguintes convidados:</w:t>
      </w:r>
    </w:p>
    <w:p>
      <w:pPr>
        <w:pStyle w:val="Corpodotexto"/>
        <w:spacing w:lineRule="auto" w:line="312"/>
        <w:ind w:left="102" w:right="120" w:firstLine="2302"/>
        <w:jc w:val="both"/>
        <w:rPr/>
      </w:pPr>
      <w:r>
        <w:rPr/>
        <w:t xml:space="preserve">- </w:t>
      </w:r>
      <w:r>
        <w:rPr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t>Representante do Procon</w:t>
      </w:r>
      <w:r>
        <w:rPr/>
        <w:t>;</w:t>
      </w:r>
    </w:p>
    <w:p>
      <w:pPr>
        <w:pStyle w:val="Corpodotexto"/>
        <w:spacing w:lineRule="auto" w:line="312"/>
        <w:ind w:left="102" w:right="120" w:firstLine="2302"/>
        <w:jc w:val="both"/>
        <w:rPr/>
      </w:pPr>
      <w:r>
        <w:rPr/>
        <w:t xml:space="preserve">- Representante </w:t>
      </w:r>
      <w:r>
        <w:rPr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t>do Sistema Nacional de Defesa do Consumidor (SNDC)</w:t>
      </w:r>
      <w:r>
        <w:rPr/>
        <w:t>;</w:t>
      </w:r>
    </w:p>
    <w:p>
      <w:pPr>
        <w:pStyle w:val="Corpodotexto"/>
        <w:spacing w:lineRule="auto" w:line="312"/>
        <w:ind w:left="102" w:right="120" w:firstLine="2302"/>
        <w:jc w:val="both"/>
        <w:rPr/>
      </w:pPr>
      <w:r>
        <w:rPr/>
        <w:t>- Representante do SindiTelebrasil;</w:t>
      </w:r>
    </w:p>
    <w:p>
      <w:pPr>
        <w:pStyle w:val="Corpodotexto"/>
        <w:spacing w:lineRule="auto" w:line="312"/>
        <w:ind w:left="102" w:right="120" w:firstLine="2302"/>
        <w:jc w:val="both"/>
        <w:rPr/>
      </w:pPr>
      <w:r>
        <w:rPr/>
        <w:t>- Representate da I</w:t>
      </w:r>
      <w:r>
        <w:rPr/>
        <w:t>dec (Instituto de Defesa do Consumidor)</w:t>
      </w:r>
      <w:r>
        <w:rPr/>
        <w:t>;</w:t>
      </w:r>
    </w:p>
    <w:p>
      <w:pPr>
        <w:pStyle w:val="Corpodotexto"/>
        <w:spacing w:lineRule="auto" w:line="312"/>
        <w:ind w:left="102" w:right="120" w:firstLine="2302"/>
        <w:jc w:val="both"/>
        <w:rPr/>
      </w:pPr>
      <w:r>
        <w:rPr/>
        <w:t xml:space="preserve">- Representante da </w:t>
      </w:r>
      <w:r>
        <w:rPr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t>Senacon (Secretaria Nacional de Defesa do Consumidor)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spacing w:before="10" w:after="0"/>
        <w:rPr>
          <w:sz w:val="22"/>
        </w:rPr>
      </w:pPr>
      <w:r>
        <w:rPr>
          <w:sz w:val="22"/>
        </w:rPr>
      </w:r>
    </w:p>
    <w:p>
      <w:pPr>
        <w:pStyle w:val="Ttulo1"/>
        <w:spacing w:before="1" w:after="0"/>
        <w:ind w:left="303" w:right="319" w:hanging="0"/>
        <w:rPr/>
      </w:pPr>
      <w:r>
        <w:rPr/>
        <w:t>JUSTIFICATIVA</w:t>
      </w:r>
    </w:p>
    <w:p>
      <w:pPr>
        <w:pStyle w:val="Corpodotexto"/>
        <w:rPr>
          <w:rFonts w:ascii="Arial" w:hAnsi="Arial"/>
          <w:b/>
          <w:b/>
          <w:sz w:val="30"/>
        </w:rPr>
      </w:pPr>
      <w:r>
        <w:rPr>
          <w:rFonts w:ascii="Arial" w:hAnsi="Arial"/>
          <w:b/>
          <w:sz w:val="30"/>
        </w:rPr>
      </w:r>
    </w:p>
    <w:p>
      <w:pPr>
        <w:pStyle w:val="Corpodotexto"/>
        <w:spacing w:before="1" w:after="0"/>
        <w:rPr>
          <w:rFonts w:ascii="Arial" w:hAnsi="Arial"/>
          <w:b/>
          <w:b/>
          <w:sz w:val="42"/>
        </w:rPr>
      </w:pPr>
      <w:r>
        <w:rPr>
          <w:rFonts w:ascii="Arial" w:hAnsi="Arial"/>
          <w:b/>
          <w:sz w:val="42"/>
        </w:rPr>
      </w:r>
    </w:p>
    <w:p>
      <w:pPr>
        <w:pStyle w:val="Corpodotexto"/>
        <w:spacing w:lineRule="auto" w:line="312"/>
        <w:ind w:left="102" w:right="122" w:firstLine="2302"/>
        <w:jc w:val="both"/>
        <w:rPr/>
      </w:pPr>
      <w:r>
        <w:rPr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t xml:space="preserve">O Código de Defesa do Consumidor (CDC) </w:t>
      </w:r>
      <w:r>
        <w:rPr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t>completou 30 anos em 2020, e, apesar de ao longo dessas três décadas mostrar-se um excelente instrumento de proteção e defesa dos direitos dos consumidores nas mais variadas situações, é necessário que a lei consumeirista passe por uma atualização para adaptar-se às novas realidades decorrentes das novas práticas do mercado, robustecendo os mecanismos de defesa do consumidor.</w:t>
      </w:r>
    </w:p>
    <w:p>
      <w:pPr>
        <w:pStyle w:val="Corpodotexto"/>
        <w:spacing w:lineRule="auto" w:line="312"/>
        <w:ind w:left="102" w:right="122" w:firstLine="2302"/>
        <w:jc w:val="both"/>
        <w:rPr/>
      </w:pPr>
      <w:r>
        <w:rPr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t>Aliado a este fato, tem-se o crescimento das relações consumeiristas criadas pelo meio digital, o que também necessita a adequação do CDC para esta realidade.</w:t>
      </w:r>
    </w:p>
    <w:p>
      <w:pPr>
        <w:pStyle w:val="Corpodotexto"/>
        <w:spacing w:lineRule="auto" w:line="312"/>
        <w:ind w:left="102" w:right="122" w:firstLine="2302"/>
        <w:jc w:val="both"/>
        <w:rPr/>
      </w:pPr>
      <w:r>
        <w:rPr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t>Nesse sentido, o Procon/SP já fomentou o debate sobre o tema</w:t>
      </w:r>
      <w:r>
        <w:rPr>
          <w:rStyle w:val="Ncoradanotaderodap"/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footnoteReference w:id="2"/>
      </w:r>
      <w:r>
        <w:rPr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t>, devendo a Câmara dos Deputados, como meio de respaldar a sua atividade de produção legislativa, congregar representantes da sociedade civil, órgãos de defesa do consumidor, parlamentares e cidadãos em uma Audiência Pública que possibilite o debate das propostas abaixo:</w:t>
      </w:r>
    </w:p>
    <w:p>
      <w:pPr>
        <w:pStyle w:val="Corpodotexto"/>
        <w:spacing w:lineRule="auto" w:line="312"/>
        <w:ind w:left="102" w:right="122" w:firstLine="2302"/>
        <w:jc w:val="both"/>
        <w:rPr/>
      </w:pPr>
      <w:r>
        <w:rPr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t>- Crédito ao Consumidor e superendividamento;</w:t>
      </w:r>
    </w:p>
    <w:p>
      <w:pPr>
        <w:pStyle w:val="Corpodotexto"/>
        <w:spacing w:lineRule="auto" w:line="312"/>
        <w:ind w:left="102" w:right="122" w:firstLine="2302"/>
        <w:jc w:val="both"/>
        <w:rPr/>
      </w:pPr>
      <w:r>
        <w:rPr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t>- Comércio eletrônico;</w:t>
      </w:r>
    </w:p>
    <w:p>
      <w:pPr>
        <w:pStyle w:val="Corpodotexto"/>
        <w:spacing w:lineRule="auto" w:line="312"/>
        <w:ind w:left="102" w:right="122" w:firstLine="2302"/>
        <w:jc w:val="both"/>
        <w:rPr/>
      </w:pPr>
      <w:r>
        <w:rPr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t>- Ações coletivos no código de defesa do consumidor;</w:t>
      </w:r>
    </w:p>
    <w:p>
      <w:pPr>
        <w:pStyle w:val="Corpodotexto"/>
        <w:spacing w:lineRule="auto" w:line="312"/>
        <w:ind w:left="102" w:right="122" w:firstLine="2302"/>
        <w:jc w:val="both"/>
        <w:rPr/>
      </w:pPr>
      <w:r>
        <w:rPr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t>- Atualização do Serviço de Atendimento do Consumidor (SAC)</w:t>
      </w:r>
      <w:r>
        <w:rPr>
          <w:rStyle w:val="Ncoradanotaderodap"/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footnoteReference w:id="3"/>
      </w:r>
      <w:r>
        <w:rPr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t>.</w:t>
      </w:r>
    </w:p>
    <w:p>
      <w:pPr>
        <w:pStyle w:val="Corpodotexto"/>
        <w:spacing w:lineRule="auto" w:line="312"/>
        <w:ind w:left="102" w:right="122" w:firstLine="2302"/>
        <w:jc w:val="both"/>
        <w:rPr/>
      </w:pPr>
      <w:r>
        <w:rPr>
          <w:rFonts w:eastAsia="Arial MT" w:cs="Arial MT"/>
          <w:color w:val="auto"/>
          <w:kern w:val="0"/>
          <w:sz w:val="24"/>
          <w:szCs w:val="24"/>
          <w:lang w:val="pt-PT" w:eastAsia="en-US" w:bidi="ar-SA"/>
        </w:rPr>
        <w:t xml:space="preserve">Caso uma Audiência Pública não seja suficiente para discussão dos temas acima pontuados ou de outros que possivelmente sobrevenham ao longo dos trabalhos da Comissão, solicita-se a realização de outras reuniões com o mesmo objetivo. </w:t>
      </w:r>
      <w:r>
        <w:rPr>
          <w:spacing w:val="10"/>
        </w:rPr>
        <w:t xml:space="preserve"> </w:t>
      </w:r>
      <w:r>
        <w:rPr>
          <w:spacing w:val="12"/>
        </w:rPr>
        <w:t xml:space="preserve"> </w:t>
      </w:r>
    </w:p>
    <w:p>
      <w:pPr>
        <w:sectPr>
          <w:headerReference w:type="default" r:id="rId2"/>
          <w:footerReference w:type="default" r:id="rId3"/>
          <w:footnotePr>
            <w:numFmt w:val="decimal"/>
          </w:footnotePr>
          <w:type w:val="nextPage"/>
          <w:pgSz w:w="11906" w:h="16838"/>
          <w:pgMar w:left="1600" w:right="1580" w:header="1580" w:top="2392" w:footer="280" w:bottom="1069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Corpodotexto"/>
        <w:tabs>
          <w:tab w:val="clear" w:pos="720"/>
          <w:tab w:val="left" w:pos="5324" w:leader="none"/>
          <w:tab w:val="left" w:pos="7455" w:leader="none"/>
        </w:tabs>
        <w:spacing w:before="0" w:after="0"/>
        <w:ind w:left="0" w:right="0" w:hanging="0"/>
        <w:jc w:val="center"/>
        <w:rPr/>
      </w:pPr>
      <w:r>
        <w:rPr/>
      </w:r>
    </w:p>
    <w:p>
      <w:pPr>
        <w:pStyle w:val="Corpodotexto"/>
        <w:tabs>
          <w:tab w:val="clear" w:pos="720"/>
          <w:tab w:val="left" w:pos="5324" w:leader="none"/>
          <w:tab w:val="left" w:pos="7455" w:leader="none"/>
        </w:tabs>
        <w:spacing w:before="0" w:after="0"/>
        <w:ind w:left="0" w:right="0" w:hanging="0"/>
        <w:jc w:val="center"/>
        <w:rPr/>
      </w:pPr>
      <w:r>
        <w:rPr/>
      </w:r>
    </w:p>
    <w:p>
      <w:pPr>
        <w:pStyle w:val="Corpodotexto"/>
        <w:tabs>
          <w:tab w:val="clear" w:pos="720"/>
          <w:tab w:val="left" w:pos="5324" w:leader="none"/>
          <w:tab w:val="left" w:pos="7455" w:leader="none"/>
        </w:tabs>
        <w:spacing w:before="0" w:after="0"/>
        <w:ind w:left="0" w:right="0" w:hanging="0"/>
        <w:jc w:val="center"/>
        <w:rPr/>
      </w:pPr>
      <w:r>
        <w:rPr/>
        <w:t>Sala</w:t>
      </w:r>
      <w:r>
        <w:rPr>
          <w:spacing w:val="-2"/>
        </w:rPr>
        <w:t xml:space="preserve"> </w:t>
      </w:r>
      <w:r>
        <w:rPr/>
        <w:t>das</w:t>
      </w:r>
      <w:r>
        <w:rPr>
          <w:spacing w:val="-2"/>
        </w:rPr>
        <w:t xml:space="preserve"> </w:t>
      </w:r>
      <w:r>
        <w:rPr/>
        <w:t>Sessões,</w:t>
      </w:r>
      <w:r>
        <w:rPr>
          <w:spacing w:val="-2"/>
        </w:rPr>
        <w:t xml:space="preserve"> </w:t>
      </w:r>
      <w:r>
        <w:rPr/>
        <w:t>em         de          de</w:t>
      </w:r>
      <w:r>
        <w:rPr>
          <w:spacing w:val="-2"/>
        </w:rPr>
        <w:t xml:space="preserve"> </w:t>
      </w:r>
      <w:r>
        <w:rPr/>
        <w:t>2021.</w:t>
      </w:r>
    </w:p>
    <w:p>
      <w:pPr>
        <w:pStyle w:val="Corpodotexto"/>
        <w:spacing w:before="0" w:after="0"/>
        <w:ind w:left="0" w:right="0" w:hanging="0"/>
        <w:jc w:val="center"/>
        <w:rPr>
          <w:sz w:val="26"/>
        </w:rPr>
      </w:pPr>
      <w:r>
        <w:rPr>
          <w:sz w:val="26"/>
        </w:rPr>
      </w:r>
    </w:p>
    <w:p>
      <w:pPr>
        <w:pStyle w:val="Corpodotexto"/>
        <w:spacing w:before="0" w:after="0"/>
        <w:ind w:left="0" w:right="0" w:hanging="0"/>
        <w:jc w:val="center"/>
        <w:rPr>
          <w:sz w:val="26"/>
        </w:rPr>
      </w:pPr>
      <w:r>
        <w:rPr>
          <w:sz w:val="26"/>
        </w:rPr>
      </w:r>
    </w:p>
    <w:p>
      <w:pPr>
        <w:pStyle w:val="Corpodotexto"/>
        <w:spacing w:before="0" w:after="0"/>
        <w:ind w:left="0" w:right="0" w:hanging="0"/>
        <w:jc w:val="center"/>
        <w:rPr>
          <w:sz w:val="26"/>
        </w:rPr>
      </w:pPr>
      <w:r>
        <w:rPr>
          <w:sz w:val="26"/>
        </w:rPr>
        <w:t>Deputado Pedro Vilela</w:t>
      </w:r>
    </w:p>
    <w:p>
      <w:pPr>
        <w:pStyle w:val="Corpodotexto"/>
        <w:spacing w:before="0" w:after="0"/>
        <w:ind w:left="0" w:right="0" w:hanging="0"/>
        <w:jc w:val="center"/>
        <w:rPr>
          <w:sz w:val="26"/>
        </w:rPr>
      </w:pPr>
      <w:r>
        <w:rPr>
          <w:sz w:val="26"/>
        </w:rPr>
        <w:t>PSDB/AL</w:t>
      </w:r>
    </w:p>
    <w:p>
      <w:pPr>
        <w:pStyle w:val="Corpodotexto"/>
        <w:spacing w:before="0" w:after="0"/>
        <w:ind w:left="0" w:right="0" w:hanging="0"/>
        <w:jc w:val="center"/>
        <w:rPr>
          <w:sz w:val="26"/>
        </w:rPr>
      </w:pPr>
      <w:r>
        <w:rPr>
          <w:sz w:val="26"/>
        </w:rPr>
      </w:r>
    </w:p>
    <w:p>
      <w:pPr>
        <w:pStyle w:val="Corpodotexto"/>
        <w:spacing w:before="0" w:after="0"/>
        <w:ind w:left="0" w:right="0" w:hanging="0"/>
        <w:jc w:val="center"/>
        <w:rPr>
          <w:sz w:val="26"/>
        </w:rPr>
      </w:pPr>
      <w:r>
        <w:rPr>
          <w:sz w:val="26"/>
        </w:rPr>
      </w:r>
    </w:p>
    <w:p>
      <w:pPr>
        <w:pStyle w:val="Corpodotexto"/>
        <w:spacing w:before="0" w:after="0"/>
        <w:ind w:left="0" w:right="0" w:hanging="0"/>
        <w:jc w:val="center"/>
        <w:rPr>
          <w:sz w:val="26"/>
        </w:rPr>
      </w:pPr>
      <w:r>
        <w:rPr>
          <w:sz w:val="26"/>
        </w:rPr>
      </w:r>
    </w:p>
    <w:p>
      <w:pPr>
        <w:pStyle w:val="Corpodotexto"/>
        <w:spacing w:before="0" w:after="0"/>
        <w:ind w:left="0" w:right="0" w:hanging="0"/>
        <w:jc w:val="center"/>
        <w:rPr/>
      </w:pPr>
      <w:r>
        <w:rPr/>
      </w:r>
    </w:p>
    <w:sectPr>
      <w:footnotePr>
        <w:numFmt w:val="decimal"/>
      </w:footnotePr>
      <w:type w:val="continuous"/>
      <w:pgSz w:w="11906" w:h="16838"/>
      <w:pgMar w:left="1600" w:right="1580" w:header="1580" w:top="2392" w:footer="280" w:bottom="1069" w:gutter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>
        <w:rFonts w:cs="Arial" w:ascii="Arial" w:hAnsi="Arial"/>
      </w:rPr>
      <w:t xml:space="preserve">Câmara dos Deputados | Anexo III – Gab. </w:t>
    </w:r>
    <w:r>
      <w:rPr>
        <w:rFonts w:eastAsia="Calibri" w:cs="Arial" w:ascii="Arial" w:hAnsi="Arial"/>
        <w:color w:val="auto"/>
        <w:kern w:val="0"/>
        <w:sz w:val="22"/>
        <w:szCs w:val="22"/>
        <w:lang w:val="pt-BR" w:eastAsia="en-US" w:bidi="ar-SA"/>
      </w:rPr>
      <w:t>271</w:t>
    </w:r>
    <w:r>
      <w:rPr>
        <w:rFonts w:cs="Arial" w:ascii="Arial" w:hAnsi="Arial"/>
      </w:rPr>
      <w:t xml:space="preserve"> | CEP 70160-900 – Brasília/DF | Tels. </w:t>
    </w:r>
    <w:r>
      <w:rPr>
        <w:rFonts w:cs="Arial" w:ascii="Arial" w:hAnsi="Arial"/>
        <w:lang w:val="en-US"/>
      </w:rPr>
      <w:t xml:space="preserve">(61) 3215-5271 | (61) 3215-5272|  </w:t>
    </w:r>
    <w:r>
      <w:rPr>
        <w:rFonts w:eastAsia="Calibri" w:cs="Arial" w:ascii="Arial" w:hAnsi="Arial"/>
        <w:color w:val="auto"/>
        <w:kern w:val="0"/>
        <w:sz w:val="22"/>
        <w:szCs w:val="22"/>
        <w:lang w:val="en-US" w:eastAsia="en-US" w:bidi="ar-SA"/>
      </w:rPr>
      <w:t>dep.pedrovilela@camara.leg.br</w: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taderodap"/>
        <w:rPr/>
      </w:pPr>
      <w:r>
        <w:rPr>
          <w:rStyle w:val="Caracteresdenotaderodap"/>
        </w:rPr>
        <w:footnoteRef/>
      </w:r>
      <w:r>
        <w:rPr/>
        <w:tab/>
        <w:t>Disponível em: &lt;https://sistemas.procon.sp.gov.br/pesquisasdep/trespesquisas/index.php&gt;.</w:t>
      </w:r>
    </w:p>
  </w:footnote>
  <w:footnote w:id="3">
    <w:p>
      <w:pPr>
        <w:pStyle w:val="Notaderodap"/>
        <w:rPr/>
      </w:pPr>
      <w:r>
        <w:rPr>
          <w:rStyle w:val="Caracteresdenotaderodap"/>
        </w:rPr>
        <w:footnoteRef/>
      </w:r>
      <w:r>
        <w:rPr/>
        <w:tab/>
        <w:t>Disponível em: &lt;https://tiinside.com.br/25/02/2021/senacon-realiza-audiencia-publica-para-modernizar-o-sac/&gt;.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tabs>
        <w:tab w:val="clear" w:pos="4363"/>
        <w:tab w:val="clear" w:pos="8726"/>
        <w:tab w:val="left" w:pos="709" w:leader="none"/>
        <w:tab w:val="center" w:pos="4252" w:leader="none"/>
        <w:tab w:val="right" w:pos="8504" w:leader="none"/>
      </w:tabs>
      <w:rPr>
        <w:rFonts w:ascii="Arial" w:hAnsi="Arial" w:cs="Arial"/>
        <w:b/>
        <w:b/>
        <w:sz w:val="24"/>
        <w:szCs w:val="24"/>
      </w:rPr>
    </w:pPr>
    <w:r>
      <w:drawing>
        <wp:anchor behindDoc="1" distT="0" distB="0" distL="0" distR="0" simplePos="0" locked="0" layoutInCell="0" allowOverlap="1" relativeHeight="4">
          <wp:simplePos x="0" y="0"/>
          <wp:positionH relativeFrom="page">
            <wp:posOffset>436245</wp:posOffset>
          </wp:positionH>
          <wp:positionV relativeFrom="paragraph">
            <wp:posOffset>-225425</wp:posOffset>
          </wp:positionV>
          <wp:extent cx="614680" cy="668020"/>
          <wp:effectExtent l="0" t="0" r="0" b="0"/>
          <wp:wrapNone/>
          <wp:docPr id="1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1" t="-19" r="-21" b="-19"/>
                  <a:stretch>
                    <a:fillRect/>
                  </a:stretch>
                </pic:blipFill>
                <pic:spPr bwMode="auto">
                  <a:xfrm>
                    <a:off x="0" y="0"/>
                    <a:ext cx="614680" cy="668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sz w:val="24"/>
        <w:szCs w:val="24"/>
      </w:rPr>
      <w:t>C</w:t>
    </w:r>
    <w:r>
      <w:rPr>
        <w:rFonts w:cs="Arial" w:ascii="Arial" w:hAnsi="Arial"/>
        <w:b/>
        <w:sz w:val="24"/>
        <w:szCs w:val="24"/>
      </w:rPr>
      <w:t>ÂMARA DOS DEPUTADOS</w:t>
    </w:r>
  </w:p>
  <w:p>
    <w:pPr>
      <w:pStyle w:val="Cabealho"/>
      <w:tabs>
        <w:tab w:val="clear" w:pos="4363"/>
        <w:tab w:val="clear" w:pos="8726"/>
        <w:tab w:val="left" w:pos="709" w:leader="none"/>
        <w:tab w:val="center" w:pos="4252" w:leader="none"/>
        <w:tab w:val="right" w:pos="8504" w:leader="none"/>
      </w:tabs>
      <w:rPr/>
    </w:pPr>
    <w:r>
      <w:rPr>
        <w:rFonts w:cs="Arial" w:ascii="Arial" w:hAnsi="Arial"/>
      </w:rPr>
      <w:t xml:space="preserve">Gabinete do Deputado </w:t>
    </w:r>
    <w:r>
      <w:rPr>
        <w:rFonts w:eastAsia="Calibri" w:cs="Arial" w:ascii="Arial" w:hAnsi="Arial"/>
        <w:color w:val="auto"/>
        <w:kern w:val="0"/>
        <w:sz w:val="22"/>
        <w:szCs w:val="22"/>
        <w:lang w:val="pt-BR" w:eastAsia="en-US" w:bidi="ar-SA"/>
      </w:rPr>
      <w:t>Pedro Vilela</w:t>
    </w:r>
    <w:r>
      <w:rPr>
        <w:rFonts w:cs="Arial" w:ascii="Arial" w:hAnsi="Arial"/>
        <w:b/>
      </w:rPr>
      <w:t xml:space="preserve"> </w:t>
    </w:r>
    <w:r>
      <w:rPr>
        <w:rFonts w:cs="Arial" w:ascii="Arial" w:hAnsi="Arial"/>
      </w:rPr>
      <w:t>– PSDB/AL</w:t>
    </w:r>
  </w:p>
</w:hdr>
</file>

<file path=word/settings.xml><?xml version="1.0" encoding="utf-8"?>
<w:settings xmlns:w="http://schemas.openxmlformats.org/wordprocessingml/2006/main">
  <w:zoom w:percent="86"/>
  <w:defaultTabStop w:val="720"/>
  <w:autoHyphenation w:val="true"/>
  <w:footnotePr>
    <w:numFmt w:val="decimal"/>
    <w:footnote w:id="0"/>
    <w:footnote w:id="1"/>
  </w:footnotePr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uiPriority w:val="1"/>
    <w:qFormat/>
    <w:pPr>
      <w:ind w:left="302" w:right="319" w:hanging="0"/>
      <w:jc w:val="center"/>
      <w:outlineLvl w:val="1"/>
    </w:pPr>
    <w:rPr>
      <w:rFonts w:ascii="Arial" w:hAnsi="Arial" w:eastAsia="Arial" w:cs="Arial"/>
      <w:b/>
      <w:bCs/>
      <w:sz w:val="28"/>
      <w:szCs w:val="28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racteresdenotaderodap">
    <w:name w:val="Caracteres de nota de rodapé"/>
    <w:qFormat/>
    <w:rPr/>
  </w:style>
  <w:style w:type="character" w:styleId="Ncoradanotaderodap">
    <w:name w:val="Âncora da nota de rodapé"/>
    <w:rPr>
      <w:vertAlign w:val="superscript"/>
    </w:rPr>
  </w:style>
  <w:style w:type="character" w:styleId="Ncoradanotadefim">
    <w:name w:val="Âncora da nota de fim"/>
    <w:rPr>
      <w:vertAlign w:val="superscript"/>
    </w:rPr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pt-PT" w:eastAsia="en-US" w:bidi="ar-SA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363" w:leader="none"/>
        <w:tab w:val="right" w:pos="8726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Notaderodap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LibreOffice/7.0.1.2$Windows_X86_64 LibreOffice_project/7cbcfc562f6eb6708b5ff7d7397325de9e764452</Application>
  <Pages>3</Pages>
  <Words>412</Words>
  <Characters>2505</Characters>
  <CharactersWithSpaces>2914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2021-03-16T11:07:18Z</dcterms:created>
  <dc:creator>USER</dc:creator>
  <dc:description/>
  <dc:language>pt-BR</dc:language>
  <cp:lastModifiedBy/>
  <dcterms:modified xsi:type="dcterms:W3CDTF">2021-03-16T15:02:56Z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2011-06-20T00:00:00Z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2021-03-16T00:00:00Z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