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1D3F3" w14:textId="77777777" w:rsidR="004B5F17" w:rsidRPr="00EF02E9" w:rsidRDefault="004B5F17" w:rsidP="004B5F17">
      <w:pPr>
        <w:pStyle w:val="cabea"/>
      </w:pPr>
      <w:r w:rsidRPr="00EF02E9">
        <w:t>redação final</w:t>
      </w:r>
    </w:p>
    <w:p w14:paraId="6B0CFDC5" w14:textId="3E787220" w:rsidR="004B5F17" w:rsidRPr="00EF02E9" w:rsidRDefault="004B5F17" w:rsidP="004B5F17">
      <w:pPr>
        <w:pStyle w:val="cabea"/>
      </w:pPr>
      <w:r w:rsidRPr="00EF02E9">
        <w:t xml:space="preserve">medida provisória nº </w:t>
      </w:r>
      <w:r w:rsidR="00A64C3D" w:rsidRPr="00EF02E9">
        <w:t>930</w:t>
      </w:r>
      <w:r w:rsidRPr="00EF02E9">
        <w:t>-</w:t>
      </w:r>
      <w:r w:rsidR="00EF02E9" w:rsidRPr="00EF02E9">
        <w:t xml:space="preserve">A, </w:t>
      </w:r>
      <w:r w:rsidRPr="00EF02E9">
        <w:t xml:space="preserve">de </w:t>
      </w:r>
      <w:r w:rsidR="00A64C3D" w:rsidRPr="00EF02E9">
        <w:t>2020</w:t>
      </w:r>
    </w:p>
    <w:p w14:paraId="6C706F5E" w14:textId="29E9CD28" w:rsidR="00C86077" w:rsidRDefault="00C86077" w:rsidP="004B5F17">
      <w:pPr>
        <w:pStyle w:val="cabea"/>
      </w:pPr>
      <w:r w:rsidRPr="00EF02E9">
        <w:t xml:space="preserve">PROJETO DE LEI DE CONVERSÃO </w:t>
      </w:r>
      <w:r w:rsidR="00EF02E9" w:rsidRPr="00EF02E9">
        <w:t>Nº 21</w:t>
      </w:r>
      <w:r w:rsidR="00A64C3D" w:rsidRPr="00EF02E9">
        <w:t xml:space="preserve"> </w:t>
      </w:r>
      <w:r w:rsidRPr="00EF02E9">
        <w:t xml:space="preserve">de </w:t>
      </w:r>
      <w:r w:rsidR="00EF02E9" w:rsidRPr="00EF02E9">
        <w:t>2020</w:t>
      </w:r>
    </w:p>
    <w:p w14:paraId="306D4C48" w14:textId="77777777" w:rsidR="004B5F17" w:rsidRDefault="004B5F17" w:rsidP="004B5F17">
      <w:pPr>
        <w:pStyle w:val="texto10"/>
      </w:pPr>
    </w:p>
    <w:p w14:paraId="6C14259E" w14:textId="328E580E" w:rsidR="004B5F17" w:rsidRPr="002A7DDB" w:rsidRDefault="005A410E" w:rsidP="00E148A0">
      <w:pPr>
        <w:pStyle w:val="ementa"/>
        <w:ind w:left="3545"/>
      </w:pPr>
      <w:r w:rsidRPr="002A7DDB">
        <w:t xml:space="preserve">Dispõe sobre o tratamento tributário incidente sobre a variação cambial do valor de investimento realizado por instituições financeiras e </w:t>
      </w:r>
      <w:r w:rsidR="00E31378" w:rsidRPr="002A7DDB">
        <w:t xml:space="preserve">pelas </w:t>
      </w:r>
      <w:r w:rsidRPr="002A7DDB">
        <w:t xml:space="preserve">demais instituições autorizadas a funcionar pelo Banco Central do Brasil em sociedade controlada, coligada, filial, sucursal ou agência domiciliada no exterior; altera as Leis </w:t>
      </w:r>
      <w:proofErr w:type="spellStart"/>
      <w:r w:rsidRPr="002A7DDB">
        <w:t>nº</w:t>
      </w:r>
      <w:r w:rsidR="002B316C" w:rsidRPr="002A7DDB">
        <w:t>s</w:t>
      </w:r>
      <w:proofErr w:type="spellEnd"/>
      <w:r w:rsidRPr="002A7DDB">
        <w:t xml:space="preserve"> </w:t>
      </w:r>
      <w:r w:rsidR="00A913BC" w:rsidRPr="002A7DDB">
        <w:t xml:space="preserve">12.865, de 9 de outubro de 2013, </w:t>
      </w:r>
      <w:r w:rsidR="000B20C5">
        <w:t>e 12.249, de 11 de junho de 2010</w:t>
      </w:r>
      <w:r w:rsidR="00774BD3">
        <w:t xml:space="preserve">; </w:t>
      </w:r>
      <w:r w:rsidRPr="002A7DDB">
        <w:t>e dá outras providências.</w:t>
      </w:r>
    </w:p>
    <w:p w14:paraId="5BF418D4" w14:textId="77777777" w:rsidR="004B5F17" w:rsidRPr="002A7DDB" w:rsidRDefault="004B5F17" w:rsidP="004B5F17">
      <w:pPr>
        <w:pStyle w:val="texto1"/>
      </w:pPr>
    </w:p>
    <w:p w14:paraId="3E6975BA" w14:textId="77777777" w:rsidR="004B5F17" w:rsidRPr="002A7DDB" w:rsidRDefault="000249D7" w:rsidP="004B5F17">
      <w:pPr>
        <w:pStyle w:val="texto1"/>
      </w:pPr>
      <w:r w:rsidRPr="002A7DDB">
        <w:t>O CONGRESSO NACIONAL decreta:</w:t>
      </w:r>
    </w:p>
    <w:p w14:paraId="6ED62BF2" w14:textId="77777777" w:rsidR="000249D7" w:rsidRDefault="000249D7" w:rsidP="004B5F17">
      <w:pPr>
        <w:pStyle w:val="texto1"/>
      </w:pPr>
    </w:p>
    <w:p w14:paraId="2960D8C7" w14:textId="3BD18DE7" w:rsidR="005A410E" w:rsidRDefault="005A410E" w:rsidP="005A410E">
      <w:pPr>
        <w:pStyle w:val="texto1"/>
      </w:pPr>
      <w:r w:rsidRPr="005A410E">
        <w:t xml:space="preserve">Art. 1º Esta Lei dispõe sobre o tratamento tributário incidente sobre a variação cambial do valor de investimento </w:t>
      </w:r>
      <w:r w:rsidRPr="002A7DDB">
        <w:t>realizado</w:t>
      </w:r>
      <w:r w:rsidR="002A7DDB" w:rsidRPr="002A7DDB">
        <w:t xml:space="preserve"> </w:t>
      </w:r>
      <w:r w:rsidRPr="002A7DDB">
        <w:t>por</w:t>
      </w:r>
      <w:r w:rsidRPr="005A410E">
        <w:t xml:space="preserve"> instituições financeiras e </w:t>
      </w:r>
      <w:r w:rsidR="00E31378" w:rsidRPr="002A7DDB">
        <w:t>pelas</w:t>
      </w:r>
      <w:r w:rsidR="00E31378">
        <w:t xml:space="preserve"> </w:t>
      </w:r>
      <w:r w:rsidRPr="005A410E">
        <w:t xml:space="preserve">demais instituições autorizadas a funcionar pelo </w:t>
      </w:r>
      <w:r w:rsidRPr="002A7DDB">
        <w:t>Banco Central do Brasil em sociedade controlada, coligada, fi</w:t>
      </w:r>
      <w:r w:rsidRPr="005A410E">
        <w:t>lial, sucursal ou agência domiciliada no exterior</w:t>
      </w:r>
      <w:r w:rsidR="002A7DDB">
        <w:t>.</w:t>
      </w:r>
    </w:p>
    <w:p w14:paraId="7203D063" w14:textId="228917FD" w:rsidR="005A410E" w:rsidRPr="0014782F" w:rsidRDefault="005A410E" w:rsidP="00EF02E9">
      <w:pPr>
        <w:pStyle w:val="texto1"/>
      </w:pPr>
      <w:r w:rsidRPr="0014782F">
        <w:t xml:space="preserve">Art. 2º A partir do exercício financeiro do ano de </w:t>
      </w:r>
      <w:r w:rsidRPr="00EF02E9">
        <w:t>2021, a variação cambial da parcela com cobertura de risco (</w:t>
      </w:r>
      <w:r w:rsidRPr="00EF02E9">
        <w:rPr>
          <w:i/>
        </w:rPr>
        <w:t>hedge</w:t>
      </w:r>
      <w:r w:rsidRPr="00EF02E9">
        <w:t>) do valor do investimento realizado pelas instituições financeiras e pelas demais instituições autorizadas a funcionar pelo Banco Central do Brasil</w:t>
      </w:r>
      <w:r w:rsidR="002B316C" w:rsidRPr="00EF02E9">
        <w:t xml:space="preserve"> </w:t>
      </w:r>
      <w:r w:rsidRPr="00EF02E9">
        <w:t>em sociedade controlada, coligada, filial, sucursal ou agência domiciliada no exterior, registrada em conformidade com o regime de competência, deverá ser computada na determinação do lucro real e na base de cálculo da Contribuição Social sobre o Lucro Líquido (CSLL) da pessoa jurídica investidora</w:t>
      </w:r>
      <w:r w:rsidRPr="00202A8C">
        <w:t xml:space="preserve"> domiciliada no País, na proporção de:</w:t>
      </w:r>
    </w:p>
    <w:p w14:paraId="175E4919" w14:textId="77777777" w:rsidR="005A410E" w:rsidRPr="0014782F" w:rsidRDefault="005A410E" w:rsidP="005A410E">
      <w:pPr>
        <w:pStyle w:val="texto1"/>
        <w:rPr>
          <w:spacing w:val="-6"/>
        </w:rPr>
      </w:pPr>
      <w:r w:rsidRPr="0014782F">
        <w:rPr>
          <w:spacing w:val="-6"/>
        </w:rPr>
        <w:lastRenderedPageBreak/>
        <w:t>I – 50% (cinquenta por cento), no exercício de 2021; e</w:t>
      </w:r>
    </w:p>
    <w:p w14:paraId="1727038D" w14:textId="77777777" w:rsidR="005A410E" w:rsidRPr="005A410E" w:rsidRDefault="005A410E" w:rsidP="005A410E">
      <w:pPr>
        <w:pStyle w:val="texto1"/>
      </w:pPr>
      <w:r w:rsidRPr="005A410E">
        <w:t>II – 100% (cem por cento), a partir do exercício de 2022.</w:t>
      </w:r>
    </w:p>
    <w:p w14:paraId="4EBFE5EE" w14:textId="006A1C6E" w:rsidR="005A410E" w:rsidRPr="005A410E" w:rsidRDefault="005A410E" w:rsidP="005A410E">
      <w:pPr>
        <w:pStyle w:val="texto1"/>
      </w:pPr>
      <w:r w:rsidRPr="005A410E">
        <w:t xml:space="preserve">§ 1º O disposto nos </w:t>
      </w:r>
      <w:proofErr w:type="spellStart"/>
      <w:r w:rsidRPr="005A410E">
        <w:t>arts</w:t>
      </w:r>
      <w:proofErr w:type="spellEnd"/>
      <w:r w:rsidRPr="005A410E">
        <w:t>. 3º</w:t>
      </w:r>
      <w:r w:rsidR="0014782F">
        <w:t>, 4º, 5º, 6º, 7º, 8º</w:t>
      </w:r>
      <w:r w:rsidRPr="005A410E">
        <w:t xml:space="preserve"> </w:t>
      </w:r>
      <w:r w:rsidR="0014782F">
        <w:t>e</w:t>
      </w:r>
      <w:r w:rsidR="0014782F" w:rsidRPr="005A410E">
        <w:t xml:space="preserve"> </w:t>
      </w:r>
      <w:r w:rsidRPr="005A410E">
        <w:t xml:space="preserve">9º </w:t>
      </w:r>
      <w:r w:rsidRPr="00EF02E9">
        <w:t>da Lei nº 12.838, de 9 de julho de 2013, será aplicado até 31 de dezembro de 2022 ao saldo de créditos oriundos de prejuízo fiscal e base negativa de contribuição social decorrentes das operações de cobertura de risco cambial (</w:t>
      </w:r>
      <w:r w:rsidRPr="00EF02E9">
        <w:rPr>
          <w:i/>
          <w:iCs/>
        </w:rPr>
        <w:t>hedge</w:t>
      </w:r>
      <w:r w:rsidRPr="00EF02E9">
        <w:t>)</w:t>
      </w:r>
      <w:r w:rsidRPr="005A410E">
        <w:t xml:space="preserve"> do investimento em sociedade controlada, coligada, filial, sucursal ou agência domiciliada no exterior, originados a partir de 1º de janeiro de 2018 até 31 de dezembro de 2020.</w:t>
      </w:r>
    </w:p>
    <w:p w14:paraId="32E4ADA9" w14:textId="2ECF8D88" w:rsidR="005A410E" w:rsidRPr="005A410E" w:rsidRDefault="005A410E" w:rsidP="005A410E">
      <w:pPr>
        <w:pStyle w:val="texto1"/>
      </w:pPr>
      <w:r w:rsidRPr="00EF02E9">
        <w:t>§ 2º O crédito presumido de que trata o § 1º deste artigo somente será apurado pelas instituições financeiras cuja liquidação extrajudicial ou falência tenha sido decretada a partir da data de publicação da Medida Provisória nº 930, de 30 de março</w:t>
      </w:r>
      <w:r w:rsidR="002B316C" w:rsidRPr="00EF02E9">
        <w:t xml:space="preserve"> de </w:t>
      </w:r>
      <w:r w:rsidRPr="00EF02E9">
        <w:t>2020.</w:t>
      </w:r>
    </w:p>
    <w:p w14:paraId="09E6E9D7" w14:textId="6B757418" w:rsidR="005A410E" w:rsidRPr="005A410E" w:rsidRDefault="005A410E" w:rsidP="005A410E">
      <w:pPr>
        <w:pStyle w:val="texto1"/>
      </w:pPr>
      <w:r w:rsidRPr="005A410E">
        <w:t xml:space="preserve">§ 3º O ganho ou a perda decorrente do instrumento financeiro utilizado para cobertura </w:t>
      </w:r>
      <w:r w:rsidRPr="00EF02E9">
        <w:t>de risco (</w:t>
      </w:r>
      <w:r w:rsidRPr="00EF02E9">
        <w:rPr>
          <w:i/>
          <w:iCs/>
        </w:rPr>
        <w:t>hedge</w:t>
      </w:r>
      <w:r w:rsidRPr="00EF02E9">
        <w:t xml:space="preserve">) dos investimentos de que trata o </w:t>
      </w:r>
      <w:r w:rsidRPr="00EF02E9">
        <w:rPr>
          <w:i/>
          <w:iCs/>
        </w:rPr>
        <w:t>caput</w:t>
      </w:r>
      <w:bookmarkStart w:id="0" w:name="_Hlk42693982"/>
      <w:bookmarkEnd w:id="0"/>
      <w:r w:rsidRPr="00EF02E9">
        <w:t xml:space="preserve"> </w:t>
      </w:r>
      <w:r w:rsidR="002B316C" w:rsidRPr="00EF02E9">
        <w:t xml:space="preserve">deste artigo </w:t>
      </w:r>
      <w:r w:rsidRPr="00A73A4B">
        <w:t>deverão</w:t>
      </w:r>
      <w:r w:rsidRPr="00EF02E9">
        <w:t xml:space="preserve"> ser computados na determinação do lucro real e na base de cálculo da CSLL pelo regime de competência, no mesmo período da variação cambial desses investimentos, inclusive</w:t>
      </w:r>
      <w:r w:rsidRPr="005A410E">
        <w:t xml:space="preserve"> na hipótese de utilização de instrumentos de dívida contratados no exterior ou de qualquer outro instrumento.</w:t>
      </w:r>
    </w:p>
    <w:p w14:paraId="7AA58E7B" w14:textId="01D1616F" w:rsidR="005A410E" w:rsidRPr="005A410E" w:rsidRDefault="005A410E" w:rsidP="005A410E">
      <w:pPr>
        <w:pStyle w:val="texto1"/>
      </w:pPr>
      <w:r w:rsidRPr="00EF02E9">
        <w:t xml:space="preserve">§ 4º A variação cambial já computada na determinação do lucro real e da base de cálculo da CSLL nos termos do </w:t>
      </w:r>
      <w:r w:rsidRPr="00EF02E9">
        <w:rPr>
          <w:i/>
          <w:iCs/>
        </w:rPr>
        <w:t>caput</w:t>
      </w:r>
      <w:r w:rsidRPr="00EF02E9">
        <w:t xml:space="preserve"> deste artigo não deverá ser incluída na determinação do lucro real e na base de cálculo da CSLL da pessoa jurídica domiciliada no </w:t>
      </w:r>
      <w:r w:rsidR="00E31378" w:rsidRPr="00EF02E9">
        <w:t xml:space="preserve">País </w:t>
      </w:r>
      <w:r w:rsidRPr="00EF02E9">
        <w:t>na hipótese de alienação ou baixa, total ou parcial, do investimento no exterior.</w:t>
      </w:r>
    </w:p>
    <w:p w14:paraId="3C57F96C" w14:textId="47948A9F" w:rsidR="005A410E" w:rsidRPr="005A410E" w:rsidRDefault="005A410E" w:rsidP="005A410E">
      <w:pPr>
        <w:pStyle w:val="texto1"/>
      </w:pPr>
      <w:r w:rsidRPr="005A410E">
        <w:t xml:space="preserve">§ 5º O disposto neste artigo </w:t>
      </w:r>
      <w:r w:rsidRPr="00EF02E9">
        <w:t xml:space="preserve">alcança inclusive a variação cambial da parcela do investimento em participações societárias caracterizadas como controladas ou coligadas em </w:t>
      </w:r>
      <w:r w:rsidRPr="00774BD3">
        <w:t xml:space="preserve">virtude </w:t>
      </w:r>
      <w:r w:rsidR="006F4856" w:rsidRPr="00774BD3">
        <w:t xml:space="preserve">de o </w:t>
      </w:r>
      <w:r w:rsidRPr="00774BD3">
        <w:t xml:space="preserve">controle ou </w:t>
      </w:r>
      <w:r w:rsidR="006F4856" w:rsidRPr="00774BD3">
        <w:t xml:space="preserve">de a </w:t>
      </w:r>
      <w:r w:rsidRPr="00774BD3">
        <w:t xml:space="preserve">influência </w:t>
      </w:r>
      <w:r w:rsidRPr="00A73A4B">
        <w:t>significativa prevista no art. 243 da Lei nº 6.404, de 15 de dezembro de 1976</w:t>
      </w:r>
      <w:r w:rsidR="008E0057" w:rsidRPr="00A73A4B">
        <w:t>,</w:t>
      </w:r>
      <w:r w:rsidRPr="00A73A4B">
        <w:t xml:space="preserve"> serem exercid</w:t>
      </w:r>
      <w:r w:rsidR="00774BD3" w:rsidRPr="00A73A4B">
        <w:t>o</w:t>
      </w:r>
      <w:r w:rsidRPr="00A73A4B">
        <w:t>s de forma indireta.</w:t>
      </w:r>
    </w:p>
    <w:p w14:paraId="16087E14" w14:textId="77777777" w:rsidR="005A410E" w:rsidRPr="005A410E" w:rsidRDefault="005A410E" w:rsidP="005A410E">
      <w:pPr>
        <w:pStyle w:val="texto1"/>
      </w:pPr>
      <w:r w:rsidRPr="00EF02E9">
        <w:t>§ 6º A Secretaria Especial da Receita Federal do Brasil do Ministério da Economia disciplinará o disposto neste artigo.</w:t>
      </w:r>
    </w:p>
    <w:p w14:paraId="5ED97093" w14:textId="77777777" w:rsidR="005A410E" w:rsidRPr="00EF02E9" w:rsidRDefault="005A410E" w:rsidP="005A410E">
      <w:pPr>
        <w:pStyle w:val="texto1"/>
      </w:pPr>
      <w:r w:rsidRPr="005A410E">
        <w:t xml:space="preserve">Art. 3º </w:t>
      </w:r>
      <w:r w:rsidRPr="00EF02E9">
        <w:t>A Lei nº 12.865, de 9 de outubro de 2013, passa a vigorar com as seguintes alterações:</w:t>
      </w:r>
    </w:p>
    <w:p w14:paraId="56C090CA" w14:textId="77777777" w:rsidR="005447D5" w:rsidRPr="00EF02E9" w:rsidRDefault="005A410E" w:rsidP="005A410E">
      <w:pPr>
        <w:pStyle w:val="texto2"/>
      </w:pPr>
      <w:r w:rsidRPr="00EF02E9">
        <w:t>“Art.</w:t>
      </w:r>
      <w:r w:rsidR="005447D5" w:rsidRPr="00EF02E9">
        <w:t xml:space="preserve"> </w:t>
      </w:r>
      <w:r w:rsidRPr="00EF02E9">
        <w:t>6º</w:t>
      </w:r>
      <w:r w:rsidR="005447D5" w:rsidRPr="00EF02E9">
        <w:t xml:space="preserve"> ................................</w:t>
      </w:r>
    </w:p>
    <w:p w14:paraId="347F89F9" w14:textId="77777777" w:rsidR="005447D5" w:rsidRPr="00EF02E9" w:rsidRDefault="005447D5" w:rsidP="0045279B">
      <w:pPr>
        <w:pStyle w:val="texto1"/>
      </w:pPr>
      <w:r w:rsidRPr="00EF02E9">
        <w:t>...................................................</w:t>
      </w:r>
    </w:p>
    <w:p w14:paraId="1BDCE136" w14:textId="24DF4075" w:rsidR="005A410E" w:rsidRPr="00EF02E9" w:rsidRDefault="005A410E" w:rsidP="00EF02E9">
      <w:pPr>
        <w:pStyle w:val="texto2"/>
      </w:pPr>
      <w:r w:rsidRPr="00EF02E9">
        <w:t>§ 4º Ressalvado o disposto no § 5º</w:t>
      </w:r>
      <w:r w:rsidR="0045279B" w:rsidRPr="00EF02E9">
        <w:t xml:space="preserve"> deste artigo</w:t>
      </w:r>
      <w:r w:rsidRPr="00EF02E9">
        <w:t>, não são alcançados por esta Lei os arranjos e as instituições de pagamento em que o volume, a abrangência e a natureza dos negócios, a serem definidos pelo Banco Central do Brasil, conforme parâmetros estabelecidos pelo Conselho Monetário Nacional, não forem capazes de oferecer risco ao normal funcionamento das tran</w:t>
      </w:r>
      <w:r w:rsidR="00EF02E9">
        <w:t>sações de pagamentos de varejo.</w:t>
      </w:r>
    </w:p>
    <w:p w14:paraId="03B8A099" w14:textId="77777777" w:rsidR="005A410E" w:rsidRPr="00EF02E9" w:rsidRDefault="005A410E" w:rsidP="005A410E">
      <w:pPr>
        <w:pStyle w:val="texto2"/>
      </w:pPr>
      <w:r w:rsidRPr="00EF02E9">
        <w:t>§ 5º O Banco Central do Brasil, respeitadas as diretrizes estabelecidas pelo Conselho Monetário Nacional, poderá requisitar informações a instituidores de arranjo de pagamento e a instituições de pagamento para poder verificar o volume, a abrangência e a natureza dos seus negócios, exclusivamente com o objetivo de avaliar sua capacidade de oferecer o risco de que trata o § 4º</w:t>
      </w:r>
      <w:r w:rsidR="002B1270" w:rsidRPr="00EF02E9">
        <w:t xml:space="preserve"> deste </w:t>
      </w:r>
      <w:proofErr w:type="gramStart"/>
      <w:r w:rsidR="002B1270" w:rsidRPr="00EF02E9">
        <w:t>artigo</w:t>
      </w:r>
      <w:r w:rsidRPr="00EF02E9">
        <w:t>.”</w:t>
      </w:r>
      <w:proofErr w:type="gramEnd"/>
      <w:r w:rsidRPr="00EF02E9">
        <w:t>(NR)</w:t>
      </w:r>
    </w:p>
    <w:p w14:paraId="5CF5C819" w14:textId="5948E79B" w:rsidR="005A410E" w:rsidRPr="00EF02E9" w:rsidRDefault="00EF02E9" w:rsidP="005A410E">
      <w:pPr>
        <w:pStyle w:val="texto2"/>
      </w:pPr>
      <w:r w:rsidRPr="00EF02E9">
        <w:t>“</w:t>
      </w:r>
      <w:r w:rsidR="005A410E" w:rsidRPr="00EF02E9">
        <w:t>Art. 12-A. Os recursos recebidos pelos participantes do arranjo de pagamento destinados à liquidação das transações de pagamento necessárias ao recebimento pelo usuário final recebedor ou o direito ao recebimento desses recursos para o cumprimento dessa mesma finalidade:</w:t>
      </w:r>
    </w:p>
    <w:p w14:paraId="5C0A61F7" w14:textId="40118ADF" w:rsidR="005A410E" w:rsidRPr="00EF02E9" w:rsidRDefault="005A410E" w:rsidP="005A410E">
      <w:pPr>
        <w:pStyle w:val="texto2"/>
      </w:pPr>
      <w:r w:rsidRPr="00EF02E9">
        <w:t xml:space="preserve">I - </w:t>
      </w:r>
      <w:proofErr w:type="gramStart"/>
      <w:r w:rsidRPr="00EF02E9">
        <w:t>não</w:t>
      </w:r>
      <w:proofErr w:type="gramEnd"/>
      <w:r w:rsidRPr="00EF02E9">
        <w:t xml:space="preserve"> se comunicam com os demais bens e direitos do participante do arranjo de pagamento e </w:t>
      </w:r>
      <w:r w:rsidR="006F4856" w:rsidRPr="00EF02E9">
        <w:t xml:space="preserve">somente </w:t>
      </w:r>
      <w:r w:rsidRPr="00EF02E9">
        <w:t>respondem pelo cumprimento de obrigações de liquidação das transações de pagamento no âmbito do arranjo de pagamento ao qual se vinculem;</w:t>
      </w:r>
    </w:p>
    <w:p w14:paraId="155D1660" w14:textId="77777777" w:rsidR="005A410E" w:rsidRPr="002A7DDB" w:rsidRDefault="005A410E" w:rsidP="005A410E">
      <w:pPr>
        <w:pStyle w:val="texto2"/>
      </w:pPr>
      <w:r w:rsidRPr="00EF02E9">
        <w:t xml:space="preserve">II - </w:t>
      </w:r>
      <w:proofErr w:type="gramStart"/>
      <w:r w:rsidRPr="00EF02E9">
        <w:t>não</w:t>
      </w:r>
      <w:proofErr w:type="gramEnd"/>
      <w:r w:rsidRPr="00EF02E9">
        <w:t xml:space="preserve"> podem ser objeto de arresto, de sequestro, de busca e apreensão ou de qualquer outro ato de constrição judicial em função de débitos de responsabilidade de qualquer participante do arranjo de pagamento, exceto para cumprimento das obrigações de liquidação entre os participantes do arranjo de pagam</w:t>
      </w:r>
      <w:r w:rsidRPr="002A7DDB">
        <w:t>ento até o recebimento pelo usuário final recebedor, conforme as regras do arranjo de pagamento;</w:t>
      </w:r>
    </w:p>
    <w:p w14:paraId="2F302BF4" w14:textId="4F16C163" w:rsidR="005A410E" w:rsidRPr="00A73A4B" w:rsidRDefault="005A410E" w:rsidP="005A410E">
      <w:pPr>
        <w:pStyle w:val="texto2"/>
      </w:pPr>
      <w:r w:rsidRPr="002A7DDB">
        <w:t xml:space="preserve">III - não podem ser objeto de cessão de direitos creditórios nem </w:t>
      </w:r>
      <w:r w:rsidR="006F4856" w:rsidRPr="00EF02E9">
        <w:t xml:space="preserve">serem </w:t>
      </w:r>
      <w:r w:rsidRPr="00EF02E9">
        <w:t xml:space="preserve">dados em garantia, exceto se o produto da cessão dos créditos ou da operação garantida for destinado para cumprir as obrigações de liquidação entre os participantes do arranjo de pagamento referentes às transações de pagamento até o recebimento pelo usuário final recebedor, </w:t>
      </w:r>
      <w:r w:rsidR="00EF02E9" w:rsidRPr="00A73A4B">
        <w:t xml:space="preserve">ou </w:t>
      </w:r>
      <w:r w:rsidR="00774BD3" w:rsidRPr="00A73A4B">
        <w:t xml:space="preserve">para </w:t>
      </w:r>
      <w:r w:rsidR="00EF02E9" w:rsidRPr="00A73A4B">
        <w:t>assegurar o cumprimento dessas obrigações</w:t>
      </w:r>
      <w:r w:rsidR="009C422C">
        <w:t>,</w:t>
      </w:r>
      <w:r w:rsidR="009C422C" w:rsidRPr="009C422C">
        <w:t xml:space="preserve"> </w:t>
      </w:r>
      <w:r w:rsidR="009C422C" w:rsidRPr="00EF02E9">
        <w:t>conforme as regras do arranjo de pagamento</w:t>
      </w:r>
      <w:r w:rsidR="00774BD3" w:rsidRPr="00A73A4B">
        <w:t>;</w:t>
      </w:r>
    </w:p>
    <w:p w14:paraId="661309A1" w14:textId="6A81BBB2" w:rsidR="005A410E" w:rsidRPr="00EF02E9" w:rsidRDefault="005A410E" w:rsidP="005A410E">
      <w:pPr>
        <w:pStyle w:val="texto2"/>
      </w:pPr>
      <w:r w:rsidRPr="00EF02E9">
        <w:t xml:space="preserve">IV - </w:t>
      </w:r>
      <w:proofErr w:type="gramStart"/>
      <w:r w:rsidRPr="00EF02E9">
        <w:t>não</w:t>
      </w:r>
      <w:proofErr w:type="gramEnd"/>
      <w:r w:rsidRPr="00EF02E9">
        <w:t xml:space="preserve"> se sujeitam à arrecadação nos regimes especiais das instituições autorizadas a funcionar pelo Banco Central do Brasil</w:t>
      </w:r>
      <w:r w:rsidR="00E50938" w:rsidRPr="00EF02E9">
        <w:t>,</w:t>
      </w:r>
      <w:r w:rsidRPr="00EF02E9">
        <w:t xml:space="preserve"> à recuperação judicial e extrajudicial, à falência, à liquidação judicial ou a qualquer outro regime de recuperação ou dissolução a que seja submetido o participante do arranjo de pagamento pelo qual transitem os referidos recursos.</w:t>
      </w:r>
    </w:p>
    <w:p w14:paraId="0365451A" w14:textId="77777777" w:rsidR="005A410E" w:rsidRPr="00093E2A" w:rsidRDefault="005A410E" w:rsidP="005A410E">
      <w:pPr>
        <w:pStyle w:val="texto2"/>
      </w:pPr>
      <w:r w:rsidRPr="00EF02E9">
        <w:t xml:space="preserve">§ 1º Os recursos destinados ao pagamento ao usuário final recebedor, a qualquer tempo recebidos por participante do arranjo de pagamento submetido aos regimes de que trata o </w:t>
      </w:r>
      <w:r w:rsidRPr="00093E2A">
        <w:t xml:space="preserve">inciso IV do </w:t>
      </w:r>
      <w:r w:rsidRPr="00093E2A">
        <w:rPr>
          <w:i/>
          <w:iCs/>
        </w:rPr>
        <w:t>caput</w:t>
      </w:r>
      <w:r w:rsidR="002B1270" w:rsidRPr="00093E2A">
        <w:rPr>
          <w:i/>
          <w:iCs/>
        </w:rPr>
        <w:t xml:space="preserve"> </w:t>
      </w:r>
      <w:r w:rsidR="004B54D4" w:rsidRPr="00093E2A">
        <w:rPr>
          <w:iCs/>
        </w:rPr>
        <w:t>deste artigo</w:t>
      </w:r>
      <w:r w:rsidRPr="00093E2A">
        <w:t>, devem ser repassados aos participantes subsequentes da cadeia de liquidação dos fluxos financeiros referentes às transações de pagamento até alcançarem a instituição designada pelo usuário final recebedor para recebimento desses recursos, conforme as regras do arranjo de pagamento correspondente.</w:t>
      </w:r>
    </w:p>
    <w:p w14:paraId="5F18A13A" w14:textId="77777777" w:rsidR="005A410E" w:rsidRPr="00093E2A" w:rsidRDefault="005A410E" w:rsidP="005A410E">
      <w:pPr>
        <w:pStyle w:val="texto2"/>
      </w:pPr>
      <w:r w:rsidRPr="00093E2A">
        <w:t>§ 2º Sub-roga-se no direito de recebimento dos recursos destinados ao pagamento do usuário final recebedor o participante ou o terceiro que entregar previamente recursos próprios, com ou sem ônus, ao usuário final recebedor.</w:t>
      </w:r>
    </w:p>
    <w:p w14:paraId="4EEE2368" w14:textId="575045EC" w:rsidR="005A410E" w:rsidRPr="00093E2A" w:rsidRDefault="005A410E" w:rsidP="005A410E">
      <w:pPr>
        <w:pStyle w:val="texto2"/>
      </w:pPr>
      <w:r w:rsidRPr="00093E2A">
        <w:t xml:space="preserve">§ 3º Não se aplica o disposto no </w:t>
      </w:r>
      <w:r w:rsidRPr="00093E2A">
        <w:rPr>
          <w:i/>
          <w:iCs/>
        </w:rPr>
        <w:t xml:space="preserve">caput </w:t>
      </w:r>
      <w:r w:rsidR="006F4856" w:rsidRPr="00093E2A">
        <w:rPr>
          <w:iCs/>
        </w:rPr>
        <w:t>deste artigo</w:t>
      </w:r>
      <w:r w:rsidR="006F4856" w:rsidRPr="00093E2A">
        <w:rPr>
          <w:i/>
          <w:iCs/>
        </w:rPr>
        <w:t xml:space="preserve"> </w:t>
      </w:r>
      <w:r w:rsidRPr="00093E2A">
        <w:t>aos recursos disponibilizados por participante do arranjo de pagamento ao usuário final recebedor, ainda que permaneçam depositados na instituição de escolha do usuário final recebedor.</w:t>
      </w:r>
    </w:p>
    <w:p w14:paraId="20D137DB" w14:textId="1B814BEB" w:rsidR="005A410E" w:rsidRPr="00093E2A" w:rsidRDefault="005A410E" w:rsidP="005A410E">
      <w:pPr>
        <w:pStyle w:val="texto2"/>
      </w:pPr>
      <w:r w:rsidRPr="00093E2A">
        <w:t xml:space="preserve">§ 4º As regras do arranjo de pagamento poderão prever o redirecionamento dos fluxos financeiros referentes às transações de pagamento do participante submetido a um dos regimes de que trata o inciso IV do </w:t>
      </w:r>
      <w:r w:rsidRPr="00093E2A">
        <w:rPr>
          <w:i/>
          <w:iCs/>
        </w:rPr>
        <w:t xml:space="preserve">caput </w:t>
      </w:r>
      <w:r w:rsidR="002B1270" w:rsidRPr="00093E2A">
        <w:rPr>
          <w:iCs/>
        </w:rPr>
        <w:t>deste artigo</w:t>
      </w:r>
      <w:r w:rsidR="002B1270" w:rsidRPr="00093E2A">
        <w:rPr>
          <w:i/>
          <w:iCs/>
        </w:rPr>
        <w:t xml:space="preserve"> </w:t>
      </w:r>
      <w:r w:rsidRPr="00093E2A">
        <w:t>para outro participante ou agente, na forma prevista no regulamento do arranjo aprovado pelo Banco Central do Brasil</w:t>
      </w:r>
      <w:r w:rsidR="00093E2A" w:rsidRPr="00093E2A">
        <w:t>.</w:t>
      </w:r>
    </w:p>
    <w:p w14:paraId="155895B1" w14:textId="4A4A2666" w:rsidR="005A410E" w:rsidRPr="00093E2A" w:rsidRDefault="005A410E" w:rsidP="005A410E">
      <w:pPr>
        <w:pStyle w:val="texto2"/>
      </w:pPr>
      <w:r w:rsidRPr="00093E2A">
        <w:t xml:space="preserve">§ 5º No caso da cessão ou da oneração de direitos creditórios previstas no inciso III do </w:t>
      </w:r>
      <w:r w:rsidRPr="00093E2A">
        <w:rPr>
          <w:i/>
          <w:iCs/>
        </w:rPr>
        <w:t>caput</w:t>
      </w:r>
      <w:r w:rsidR="004B54D4" w:rsidRPr="00093E2A">
        <w:rPr>
          <w:i/>
          <w:iCs/>
        </w:rPr>
        <w:t xml:space="preserve"> </w:t>
      </w:r>
      <w:r w:rsidR="004B54D4" w:rsidRPr="00093E2A">
        <w:rPr>
          <w:iCs/>
        </w:rPr>
        <w:t>deste artigo</w:t>
      </w:r>
      <w:r w:rsidRPr="00093E2A">
        <w:t xml:space="preserve">, o inadimplemento, pelo participante cedente ou garantidor, das obrigações de liquidação para cujo </w:t>
      </w:r>
      <w:r w:rsidRPr="00774BD3">
        <w:t>cumprimento o produto da cessão ou da operação garantida se destine não implica responsabilidade do cessionário ou beneficiário da garantia nem ineficácia da</w:t>
      </w:r>
      <w:r w:rsidRPr="00093E2A">
        <w:t xml:space="preserve"> cessão ou da garantia, salvo se comprovado ter o cessionário ou o beneficiário atuado com má-</w:t>
      </w:r>
      <w:proofErr w:type="gramStart"/>
      <w:r w:rsidRPr="00093E2A">
        <w:t>fé.”</w:t>
      </w:r>
      <w:proofErr w:type="gramEnd"/>
    </w:p>
    <w:p w14:paraId="02736592" w14:textId="2CBDE333" w:rsidR="005A410E" w:rsidRPr="00093E2A" w:rsidRDefault="00093E2A" w:rsidP="005A410E">
      <w:pPr>
        <w:pStyle w:val="texto2"/>
      </w:pPr>
      <w:r>
        <w:t>“</w:t>
      </w:r>
      <w:r w:rsidR="005A410E" w:rsidRPr="00093E2A">
        <w:rPr>
          <w:spacing w:val="-4"/>
        </w:rPr>
        <w:t xml:space="preserve">Art. 12-B. O disposto nos </w:t>
      </w:r>
      <w:proofErr w:type="spellStart"/>
      <w:r w:rsidR="005A410E" w:rsidRPr="00093E2A">
        <w:rPr>
          <w:spacing w:val="-4"/>
        </w:rPr>
        <w:t>art</w:t>
      </w:r>
      <w:r w:rsidR="004B54D4" w:rsidRPr="00093E2A">
        <w:rPr>
          <w:spacing w:val="-4"/>
        </w:rPr>
        <w:t>s</w:t>
      </w:r>
      <w:proofErr w:type="spellEnd"/>
      <w:r w:rsidR="005A410E" w:rsidRPr="00093E2A">
        <w:rPr>
          <w:spacing w:val="-4"/>
        </w:rPr>
        <w:t>. 12 e 12-A</w:t>
      </w:r>
      <w:r w:rsidR="005A410E" w:rsidRPr="00093E2A">
        <w:t xml:space="preserve"> </w:t>
      </w:r>
      <w:r w:rsidR="00CD7E3A" w:rsidRPr="00093E2A">
        <w:t xml:space="preserve">desta Lei </w:t>
      </w:r>
      <w:r w:rsidR="005A410E" w:rsidRPr="00093E2A">
        <w:t>aplica-se</w:t>
      </w:r>
      <w:r w:rsidR="002B1270" w:rsidRPr="00093E2A">
        <w:t xml:space="preserve"> </w:t>
      </w:r>
      <w:r w:rsidR="005A410E" w:rsidRPr="00093E2A">
        <w:t xml:space="preserve">aos participantes e aos instituidores de arranjos de pagamento, ainda que esses arranjos não sejam alcançados pelas </w:t>
      </w:r>
      <w:r w:rsidR="005A410E" w:rsidRPr="00093E2A">
        <w:rPr>
          <w:spacing w:val="-4"/>
        </w:rPr>
        <w:t xml:space="preserve">disposições desta Lei, nos termos </w:t>
      </w:r>
      <w:r>
        <w:rPr>
          <w:spacing w:val="-4"/>
        </w:rPr>
        <w:t>previstos</w:t>
      </w:r>
      <w:r w:rsidR="005A410E" w:rsidRPr="00093E2A">
        <w:rPr>
          <w:spacing w:val="-4"/>
        </w:rPr>
        <w:t xml:space="preserve"> no § 4º</w:t>
      </w:r>
      <w:r w:rsidR="005A410E" w:rsidRPr="00093E2A">
        <w:t xml:space="preserve"> do art. 6º</w:t>
      </w:r>
      <w:r w:rsidR="004B54D4" w:rsidRPr="00093E2A">
        <w:t xml:space="preserve"> desta </w:t>
      </w:r>
      <w:proofErr w:type="gramStart"/>
      <w:r w:rsidR="004B54D4" w:rsidRPr="00093E2A">
        <w:t>Lei</w:t>
      </w:r>
      <w:r w:rsidR="005A410E" w:rsidRPr="00093E2A">
        <w:t>.”</w:t>
      </w:r>
      <w:proofErr w:type="gramEnd"/>
    </w:p>
    <w:p w14:paraId="200C4358" w14:textId="0F672AAB" w:rsidR="005A410E" w:rsidRPr="00093E2A" w:rsidRDefault="00093E2A" w:rsidP="005A410E">
      <w:pPr>
        <w:pStyle w:val="texto2"/>
      </w:pPr>
      <w:r w:rsidRPr="00093E2A">
        <w:t>“</w:t>
      </w:r>
      <w:r w:rsidR="005A410E" w:rsidRPr="00093E2A">
        <w:t xml:space="preserve">Art. 12-C. Os bens e os direitos alocados pelos instituidores e pelos participantes de arranjos de pagamento integrantes do </w:t>
      </w:r>
      <w:r w:rsidR="00276BCE" w:rsidRPr="00093E2A">
        <w:t>SPB</w:t>
      </w:r>
      <w:r w:rsidR="005A410E" w:rsidRPr="00093E2A">
        <w:t xml:space="preserve"> para garantir a liquidação das transações de pagamento, na forma e na extensão definidas no regulamento do arranjo aprovado pelo Banco Central do Brasil:</w:t>
      </w:r>
    </w:p>
    <w:p w14:paraId="11804E62" w14:textId="13542ED3" w:rsidR="005A410E" w:rsidRPr="00093E2A" w:rsidRDefault="005A410E" w:rsidP="005A410E">
      <w:pPr>
        <w:pStyle w:val="texto2"/>
      </w:pPr>
      <w:r w:rsidRPr="00093E2A">
        <w:t xml:space="preserve">I - </w:t>
      </w:r>
      <w:proofErr w:type="gramStart"/>
      <w:r w:rsidRPr="00093E2A">
        <w:t>constituem</w:t>
      </w:r>
      <w:proofErr w:type="gramEnd"/>
      <w:r w:rsidRPr="00093E2A">
        <w:t xml:space="preserve"> patrimônio separado, que não pode ser objeto de arresto, de sequestro, de busca e apreensão ou de qualquer outro ato de constrição judicial, exceto para o cumprimento das obrigações </w:t>
      </w:r>
      <w:r w:rsidR="00093E2A">
        <w:t>assumidas no âmbito do arranjo;</w:t>
      </w:r>
    </w:p>
    <w:p w14:paraId="024BADB1" w14:textId="1625F42E" w:rsidR="005A410E" w:rsidRPr="00093E2A" w:rsidRDefault="005A410E" w:rsidP="005A410E">
      <w:pPr>
        <w:pStyle w:val="texto2"/>
      </w:pPr>
      <w:r w:rsidRPr="00093E2A">
        <w:t xml:space="preserve">II - </w:t>
      </w:r>
      <w:proofErr w:type="gramStart"/>
      <w:r w:rsidRPr="00093E2A">
        <w:t>não</w:t>
      </w:r>
      <w:proofErr w:type="gramEnd"/>
      <w:r w:rsidRPr="00093E2A">
        <w:t xml:space="preserve"> se sujeitam à arrecadação</w:t>
      </w:r>
      <w:r w:rsidR="00E50938" w:rsidRPr="00093E2A">
        <w:t>,</w:t>
      </w:r>
      <w:r w:rsidRPr="00093E2A">
        <w:t xml:space="preserve"> nos regimes especiais das instituições autorizadas a funcionar pelo Banco Central do Brasil</w:t>
      </w:r>
      <w:r w:rsidR="00E50938" w:rsidRPr="00093E2A">
        <w:t>,</w:t>
      </w:r>
      <w:r w:rsidRPr="00093E2A">
        <w:t xml:space="preserve"> à recuperação judicial e extrajudicial, à falência, à liquidação judicial ou a qualquer outro regime de recuperação ou dissolução a que seja submetido o participante do arranjo de pagamento pelo qual transitem os referidos recursos.</w:t>
      </w:r>
    </w:p>
    <w:p w14:paraId="2C531999" w14:textId="18E3CBBA" w:rsidR="005A410E" w:rsidRPr="00093E2A" w:rsidRDefault="005A410E" w:rsidP="005A410E">
      <w:pPr>
        <w:pStyle w:val="texto2"/>
      </w:pPr>
      <w:r w:rsidRPr="00093E2A">
        <w:t xml:space="preserve">§ 1º Após o cumprimento das obrigações garantidas pelos instituidores e pelos participantes de arranjos de pagamento integrantes do </w:t>
      </w:r>
      <w:r w:rsidR="004B54D4" w:rsidRPr="00093E2A">
        <w:t>SPB</w:t>
      </w:r>
      <w:r w:rsidRPr="00093E2A">
        <w:t xml:space="preserve">, os bens e os direitos remanescentes serão revertidos ao participante, de forma que não mais se aplicará o disposto nos incisos I e II do </w:t>
      </w:r>
      <w:r w:rsidRPr="00093E2A">
        <w:rPr>
          <w:i/>
          <w:iCs/>
        </w:rPr>
        <w:t>caput</w:t>
      </w:r>
      <w:r w:rsidR="004B54D4" w:rsidRPr="00093E2A">
        <w:rPr>
          <w:i/>
          <w:iCs/>
        </w:rPr>
        <w:t xml:space="preserve"> </w:t>
      </w:r>
      <w:r w:rsidR="004B54D4" w:rsidRPr="00093E2A">
        <w:rPr>
          <w:iCs/>
        </w:rPr>
        <w:t>deste artigo</w:t>
      </w:r>
      <w:r w:rsidRPr="00093E2A">
        <w:t>.</w:t>
      </w:r>
    </w:p>
    <w:p w14:paraId="0B09C234" w14:textId="6FC2A293" w:rsidR="005A410E" w:rsidRPr="00093E2A" w:rsidRDefault="005A410E" w:rsidP="005A410E">
      <w:pPr>
        <w:pStyle w:val="texto2"/>
      </w:pPr>
      <w:r w:rsidRPr="00093E2A">
        <w:t xml:space="preserve">§ 2º O disposto neste artigo não se aplica aos arranjos de pagamento fechados, conforme parâmetros estabelecidos pelo Banco Central do </w:t>
      </w:r>
      <w:proofErr w:type="gramStart"/>
      <w:r w:rsidRPr="00093E2A">
        <w:t>Brasil.”</w:t>
      </w:r>
      <w:proofErr w:type="gramEnd"/>
    </w:p>
    <w:p w14:paraId="106BF12D" w14:textId="77209D61" w:rsidR="005A410E" w:rsidRPr="00093E2A" w:rsidRDefault="005A410E" w:rsidP="005A410E">
      <w:pPr>
        <w:pStyle w:val="texto1"/>
      </w:pPr>
      <w:r w:rsidRPr="00093E2A">
        <w:t xml:space="preserve">Art. 4º </w:t>
      </w:r>
      <w:r w:rsidR="00E50938" w:rsidRPr="00093E2A">
        <w:t xml:space="preserve">O art. 41 </w:t>
      </w:r>
      <w:r w:rsidR="00C12801" w:rsidRPr="00093E2A">
        <w:t xml:space="preserve">da </w:t>
      </w:r>
      <w:r w:rsidRPr="00093E2A">
        <w:t xml:space="preserve">Lei nº 12.249, de 11 de junho de 2010, passa a vigorar </w:t>
      </w:r>
      <w:r w:rsidR="00E50938" w:rsidRPr="00093E2A">
        <w:t>acrescido do seguinte parágrafo único</w:t>
      </w:r>
      <w:r w:rsidRPr="00093E2A">
        <w:t>:</w:t>
      </w:r>
    </w:p>
    <w:p w14:paraId="18100C3D" w14:textId="77777777" w:rsidR="005A410E" w:rsidRPr="00093E2A" w:rsidRDefault="005A410E" w:rsidP="00E72E27">
      <w:pPr>
        <w:pStyle w:val="texto2"/>
      </w:pPr>
      <w:r w:rsidRPr="00093E2A">
        <w:t>“Art. 41. ..........</w:t>
      </w:r>
      <w:r w:rsidR="00E72E27" w:rsidRPr="00093E2A">
        <w:t>.....................</w:t>
      </w:r>
    </w:p>
    <w:p w14:paraId="632E71F8" w14:textId="197D65DF" w:rsidR="005A410E" w:rsidRPr="00093E2A" w:rsidRDefault="005A410E" w:rsidP="005A410E">
      <w:pPr>
        <w:pStyle w:val="texto2"/>
      </w:pPr>
      <w:r w:rsidRPr="00093E2A">
        <w:t xml:space="preserve">Parágrafo único. Fica o </w:t>
      </w:r>
      <w:bookmarkStart w:id="1" w:name="_Hlk42630830"/>
      <w:r w:rsidR="00276BCE" w:rsidRPr="00093E2A">
        <w:t>CMN</w:t>
      </w:r>
      <w:r w:rsidRPr="00093E2A">
        <w:t xml:space="preserve"> autorizado a dispor sobre a emissão de Letra Financeira com prazo de vencimento</w:t>
      </w:r>
      <w:bookmarkEnd w:id="1"/>
      <w:r w:rsidRPr="00093E2A">
        <w:t xml:space="preserve"> inferior ao previsto no inciso III do </w:t>
      </w:r>
      <w:r w:rsidRPr="00093E2A">
        <w:rPr>
          <w:i/>
          <w:iCs/>
        </w:rPr>
        <w:t>caput</w:t>
      </w:r>
      <w:r w:rsidR="00276BCE" w:rsidRPr="00093E2A">
        <w:t xml:space="preserve"> deste artigo </w:t>
      </w:r>
      <w:r w:rsidRPr="00093E2A">
        <w:t xml:space="preserve">para fins de acesso da instituição emitente a operações de redesconto e empréstimo realizadas com o Banco Central do </w:t>
      </w:r>
      <w:proofErr w:type="gramStart"/>
      <w:r w:rsidRPr="00093E2A">
        <w:t>Brasil.”</w:t>
      </w:r>
      <w:proofErr w:type="gramEnd"/>
      <w:r w:rsidRPr="00093E2A">
        <w:t>(NR)</w:t>
      </w:r>
    </w:p>
    <w:p w14:paraId="0C3C02F4" w14:textId="71B5F7EF" w:rsidR="005A410E" w:rsidRPr="005A410E" w:rsidRDefault="005A410E" w:rsidP="005A410E">
      <w:pPr>
        <w:pStyle w:val="texto1"/>
      </w:pPr>
      <w:r w:rsidRPr="00093E2A">
        <w:t xml:space="preserve">Art. 5º </w:t>
      </w:r>
      <w:r w:rsidR="000B20C5">
        <w:t>E</w:t>
      </w:r>
      <w:r w:rsidRPr="000B20C5">
        <w:t>sta</w:t>
      </w:r>
      <w:r w:rsidRPr="00230D77">
        <w:t xml:space="preserve"> Lei entra em vigor na data de sua</w:t>
      </w:r>
      <w:r w:rsidRPr="005A410E">
        <w:t xml:space="preserve"> publicação.</w:t>
      </w:r>
    </w:p>
    <w:p w14:paraId="1EBBA1F3" w14:textId="77777777" w:rsidR="00230D77" w:rsidRPr="005833EB" w:rsidRDefault="00230D77" w:rsidP="00230D77">
      <w:pPr>
        <w:pStyle w:val="texto1"/>
      </w:pPr>
      <w:r w:rsidRPr="005833EB">
        <w:t>Sala das Sessões, em</w:t>
      </w:r>
      <w:r>
        <w:t xml:space="preserve"> 30 de junho de 2020.</w:t>
      </w:r>
    </w:p>
    <w:p w14:paraId="1F40A77E" w14:textId="77777777" w:rsidR="00230D77" w:rsidRPr="005833EB" w:rsidRDefault="00230D77" w:rsidP="00230D77">
      <w:pPr>
        <w:pStyle w:val="assinatura"/>
        <w:spacing w:line="360" w:lineRule="auto"/>
        <w:rPr>
          <w:b w:val="0"/>
        </w:rPr>
      </w:pPr>
    </w:p>
    <w:p w14:paraId="0E6659CE" w14:textId="77777777" w:rsidR="00230D77" w:rsidRDefault="00230D77" w:rsidP="00230D77">
      <w:pPr>
        <w:pStyle w:val="assinatura"/>
        <w:rPr>
          <w:b w:val="0"/>
        </w:rPr>
      </w:pPr>
    </w:p>
    <w:p w14:paraId="078FDCD3" w14:textId="77777777" w:rsidR="00230D77" w:rsidRPr="005833EB" w:rsidRDefault="00230D77" w:rsidP="00230D77">
      <w:pPr>
        <w:pStyle w:val="assinatura"/>
        <w:rPr>
          <w:b w:val="0"/>
        </w:rPr>
      </w:pPr>
    </w:p>
    <w:p w14:paraId="35174BD7" w14:textId="668C0638" w:rsidR="00230D77" w:rsidRPr="005833EB" w:rsidRDefault="00230D77" w:rsidP="00230D77">
      <w:pPr>
        <w:pStyle w:val="assinatura"/>
        <w:rPr>
          <w:b w:val="0"/>
        </w:rPr>
      </w:pPr>
      <w:r w:rsidRPr="005833EB">
        <w:rPr>
          <w:b w:val="0"/>
        </w:rPr>
        <w:t>Deputado</w:t>
      </w:r>
      <w:r>
        <w:rPr>
          <w:b w:val="0"/>
        </w:rPr>
        <w:t xml:space="preserve"> </w:t>
      </w:r>
      <w:r w:rsidR="00D34842">
        <w:rPr>
          <w:b w:val="0"/>
        </w:rPr>
        <w:t>AJ ALBUQUERQUE</w:t>
      </w:r>
      <w:bookmarkStart w:id="2" w:name="_GoBack"/>
      <w:bookmarkEnd w:id="2"/>
    </w:p>
    <w:p w14:paraId="59C551FE" w14:textId="77777777" w:rsidR="00230D77" w:rsidRPr="005833EB" w:rsidRDefault="00230D77" w:rsidP="00230D77">
      <w:pPr>
        <w:pStyle w:val="assinatura"/>
        <w:rPr>
          <w:b w:val="0"/>
        </w:rPr>
      </w:pPr>
      <w:r w:rsidRPr="005833EB">
        <w:rPr>
          <w:b w:val="0"/>
        </w:rPr>
        <w:t>Relator</w:t>
      </w:r>
    </w:p>
    <w:sectPr w:rsidR="00230D77" w:rsidRPr="005833EB"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F3508" w14:textId="77777777" w:rsidR="007854DB" w:rsidRDefault="007854DB">
      <w:r>
        <w:separator/>
      </w:r>
    </w:p>
  </w:endnote>
  <w:endnote w:type="continuationSeparator" w:id="0">
    <w:p w14:paraId="6BA98706"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A23A96" w14:textId="77777777" w:rsidR="007854DB" w:rsidRDefault="007854DB">
      <w:r>
        <w:separator/>
      </w:r>
    </w:p>
  </w:footnote>
  <w:footnote w:type="continuationSeparator" w:id="0">
    <w:p w14:paraId="4D093A09"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695CCAFC" w14:textId="77777777" w:rsidR="006805CE" w:rsidRDefault="006805CE">
        <w:pPr>
          <w:pStyle w:val="Cabealho"/>
          <w:jc w:val="right"/>
        </w:pPr>
        <w:r>
          <w:fldChar w:fldCharType="begin"/>
        </w:r>
        <w:r>
          <w:instrText>PAGE   \* MERGEFORMAT</w:instrText>
        </w:r>
        <w:r>
          <w:fldChar w:fldCharType="separate"/>
        </w:r>
        <w:r w:rsidR="00D34842">
          <w:rPr>
            <w:noProof/>
          </w:rPr>
          <w:t>7</w:t>
        </w:r>
        <w:r>
          <w:fldChar w:fldCharType="end"/>
        </w:r>
      </w:p>
    </w:sdtContent>
  </w:sdt>
  <w:p w14:paraId="27E40DD9" w14:textId="77777777"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1856FD81" w14:textId="77777777"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3443E721" wp14:editId="2C06BA6D">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2AAE7C" w14:textId="77777777"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Group 1" o:spid="_x0000_s1026"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CFeATBw&#10;BAAAwgsAAA4AAAAAAAAAAAAAAAAAPAIAAGRycy9lMm9Eb2MueG1sUEsBAi0AFAAGAAgAAAAhAFhg&#10;sxu6AAAAIgEAABkAAAAAAAAAAAAAAAAA2AYAAGRycy9fcmVscy9lMm9Eb2MueG1sLnJlbHNQSwEC&#10;LQAUAAYACAAAACEApfQoOeIAAAALAQAADwAAAAAAAAAAAAAAAADJ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5C4807D1" w14:textId="77777777"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910891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93E2A"/>
    <w:rsid w:val="000B20C5"/>
    <w:rsid w:val="000E167D"/>
    <w:rsid w:val="00101B22"/>
    <w:rsid w:val="00107C41"/>
    <w:rsid w:val="00124CBD"/>
    <w:rsid w:val="0014537B"/>
    <w:rsid w:val="0014782F"/>
    <w:rsid w:val="00190618"/>
    <w:rsid w:val="00202A8C"/>
    <w:rsid w:val="00230D77"/>
    <w:rsid w:val="002529CE"/>
    <w:rsid w:val="002570F6"/>
    <w:rsid w:val="00276BCE"/>
    <w:rsid w:val="002A7DDB"/>
    <w:rsid w:val="002B1270"/>
    <w:rsid w:val="002B316C"/>
    <w:rsid w:val="002F2779"/>
    <w:rsid w:val="003013AB"/>
    <w:rsid w:val="00311F9C"/>
    <w:rsid w:val="00315D9E"/>
    <w:rsid w:val="003427B2"/>
    <w:rsid w:val="00350B05"/>
    <w:rsid w:val="0036290A"/>
    <w:rsid w:val="003A1DF7"/>
    <w:rsid w:val="004147CF"/>
    <w:rsid w:val="0043215D"/>
    <w:rsid w:val="0045279B"/>
    <w:rsid w:val="00464BD1"/>
    <w:rsid w:val="004A3BC7"/>
    <w:rsid w:val="004A592A"/>
    <w:rsid w:val="004B54D4"/>
    <w:rsid w:val="004B5F17"/>
    <w:rsid w:val="005107C7"/>
    <w:rsid w:val="005447D5"/>
    <w:rsid w:val="00564C1C"/>
    <w:rsid w:val="005833EB"/>
    <w:rsid w:val="00584082"/>
    <w:rsid w:val="00590F9C"/>
    <w:rsid w:val="00594AA0"/>
    <w:rsid w:val="005A410E"/>
    <w:rsid w:val="00602EAA"/>
    <w:rsid w:val="00610BDF"/>
    <w:rsid w:val="006657CE"/>
    <w:rsid w:val="00671CDC"/>
    <w:rsid w:val="00672B1A"/>
    <w:rsid w:val="00676BBF"/>
    <w:rsid w:val="006805CE"/>
    <w:rsid w:val="006C26C6"/>
    <w:rsid w:val="006C3CDD"/>
    <w:rsid w:val="006C43F7"/>
    <w:rsid w:val="006C5939"/>
    <w:rsid w:val="006E26DA"/>
    <w:rsid w:val="006E3E85"/>
    <w:rsid w:val="006F4856"/>
    <w:rsid w:val="007064DD"/>
    <w:rsid w:val="00722869"/>
    <w:rsid w:val="00730678"/>
    <w:rsid w:val="00734582"/>
    <w:rsid w:val="00772C04"/>
    <w:rsid w:val="00774B0D"/>
    <w:rsid w:val="00774BD3"/>
    <w:rsid w:val="00783B38"/>
    <w:rsid w:val="007854DB"/>
    <w:rsid w:val="007B6AE1"/>
    <w:rsid w:val="007D27BE"/>
    <w:rsid w:val="00854C6B"/>
    <w:rsid w:val="008B5A03"/>
    <w:rsid w:val="008C102D"/>
    <w:rsid w:val="008D1892"/>
    <w:rsid w:val="008E0057"/>
    <w:rsid w:val="00910C29"/>
    <w:rsid w:val="00973C60"/>
    <w:rsid w:val="009C1046"/>
    <w:rsid w:val="009C3050"/>
    <w:rsid w:val="009C422C"/>
    <w:rsid w:val="009D2E74"/>
    <w:rsid w:val="009D337F"/>
    <w:rsid w:val="00A21358"/>
    <w:rsid w:val="00A278FE"/>
    <w:rsid w:val="00A47C7E"/>
    <w:rsid w:val="00A64C3D"/>
    <w:rsid w:val="00A73A4B"/>
    <w:rsid w:val="00A86A23"/>
    <w:rsid w:val="00A913BC"/>
    <w:rsid w:val="00AA1014"/>
    <w:rsid w:val="00AC2A16"/>
    <w:rsid w:val="00AE71C7"/>
    <w:rsid w:val="00B004FF"/>
    <w:rsid w:val="00B71ECD"/>
    <w:rsid w:val="00B8788F"/>
    <w:rsid w:val="00C02185"/>
    <w:rsid w:val="00C07BF0"/>
    <w:rsid w:val="00C12801"/>
    <w:rsid w:val="00C21656"/>
    <w:rsid w:val="00C86077"/>
    <w:rsid w:val="00CD6C59"/>
    <w:rsid w:val="00CD7E3A"/>
    <w:rsid w:val="00CE30AC"/>
    <w:rsid w:val="00D2432A"/>
    <w:rsid w:val="00D33A01"/>
    <w:rsid w:val="00D34842"/>
    <w:rsid w:val="00D41A10"/>
    <w:rsid w:val="00D56BDE"/>
    <w:rsid w:val="00D8792B"/>
    <w:rsid w:val="00E148A0"/>
    <w:rsid w:val="00E17934"/>
    <w:rsid w:val="00E31378"/>
    <w:rsid w:val="00E45EDB"/>
    <w:rsid w:val="00E50938"/>
    <w:rsid w:val="00E67739"/>
    <w:rsid w:val="00E72E27"/>
    <w:rsid w:val="00E83563"/>
    <w:rsid w:val="00E8751C"/>
    <w:rsid w:val="00EC7164"/>
    <w:rsid w:val="00EF02E9"/>
    <w:rsid w:val="00F428C1"/>
    <w:rsid w:val="00F55E7B"/>
    <w:rsid w:val="00F607F8"/>
    <w:rsid w:val="00F653E1"/>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D0F2A5C"/>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5">
    <w:name w:val="heading 5"/>
    <w:basedOn w:val="Normal"/>
    <w:next w:val="Normal"/>
    <w:link w:val="Ttulo5Char"/>
    <w:uiPriority w:val="9"/>
    <w:semiHidden/>
    <w:unhideWhenUsed/>
    <w:rsid w:val="005A410E"/>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semiHidden/>
    <w:rsid w:val="005A410E"/>
    <w:rPr>
      <w:rFonts w:asciiTheme="majorHAnsi" w:eastAsiaTheme="majorEastAsia" w:hAnsiTheme="majorHAnsi" w:cstheme="majorBidi"/>
      <w:b/>
      <w:color w:val="365F91" w:themeColor="accent1" w:themeShade="BF"/>
    </w:rPr>
  </w:style>
  <w:style w:type="paragraph" w:styleId="Commarcadores">
    <w:name w:val="List Bullet"/>
    <w:basedOn w:val="Normal"/>
    <w:uiPriority w:val="99"/>
    <w:unhideWhenUsed/>
    <w:rsid w:val="009C422C"/>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B276B-0147-4C2E-A510-8893D37E5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1586</Words>
  <Characters>8567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2016-03-28T14:11:00Z</cp:lastPrinted>
  <dcterms:created xsi:type="dcterms:W3CDTF">2020-07-01T03:21:00Z</dcterms:created>
  <dcterms:modified xsi:type="dcterms:W3CDTF">2020-07-01T03:30:00Z</dcterms:modified>
</cp:coreProperties>
</file>