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10" w:rsidRPr="00805F65" w:rsidRDefault="00964D10" w:rsidP="00805F65">
      <w:pPr>
        <w:pStyle w:val="Ttulo2"/>
        <w:spacing w:after="240" w:line="360" w:lineRule="auto"/>
        <w:rPr>
          <w:rFonts w:cs="Arial"/>
          <w:sz w:val="24"/>
          <w:szCs w:val="24"/>
        </w:rPr>
      </w:pPr>
      <w:r w:rsidRPr="00805F65">
        <w:rPr>
          <w:rFonts w:cs="Arial"/>
          <w:sz w:val="24"/>
          <w:szCs w:val="24"/>
        </w:rPr>
        <w:t>PARECER N.º</w:t>
      </w:r>
      <w:r w:rsidR="0042496B">
        <w:rPr>
          <w:rFonts w:cs="Arial"/>
          <w:sz w:val="24"/>
          <w:szCs w:val="24"/>
        </w:rPr>
        <w:t xml:space="preserve">                   , </w:t>
      </w:r>
      <w:r w:rsidRPr="00805F65">
        <w:rPr>
          <w:rFonts w:cs="Arial"/>
          <w:sz w:val="24"/>
          <w:szCs w:val="24"/>
        </w:rPr>
        <w:t>DE 201</w:t>
      </w:r>
      <w:r w:rsidR="003D4879">
        <w:rPr>
          <w:rFonts w:cs="Arial"/>
          <w:sz w:val="24"/>
          <w:szCs w:val="24"/>
        </w:rPr>
        <w:t>7</w:t>
      </w:r>
      <w:r w:rsidRPr="00805F65">
        <w:rPr>
          <w:rFonts w:cs="Arial"/>
          <w:sz w:val="24"/>
          <w:szCs w:val="24"/>
        </w:rPr>
        <w:t xml:space="preserve"> – CN</w:t>
      </w:r>
    </w:p>
    <w:p w:rsidR="00964D10" w:rsidRPr="00805F65" w:rsidRDefault="00964D10" w:rsidP="00805F65">
      <w:pPr>
        <w:pStyle w:val="Recuodecorpodetexto"/>
        <w:spacing w:after="240" w:line="360" w:lineRule="auto"/>
        <w:ind w:left="4253"/>
        <w:rPr>
          <w:rFonts w:cs="Arial"/>
          <w:sz w:val="24"/>
          <w:szCs w:val="24"/>
        </w:rPr>
      </w:pPr>
    </w:p>
    <w:p w:rsidR="004F3ED9" w:rsidRDefault="00964D10" w:rsidP="00F63DD6">
      <w:pPr>
        <w:autoSpaceDE w:val="0"/>
        <w:autoSpaceDN w:val="0"/>
        <w:adjustRightInd w:val="0"/>
        <w:spacing w:after="240" w:line="360" w:lineRule="auto"/>
        <w:ind w:left="2977"/>
        <w:rPr>
          <w:i/>
          <w:sz w:val="24"/>
        </w:rPr>
      </w:pPr>
      <w:bookmarkStart w:id="0" w:name="_GoBack"/>
      <w:r w:rsidRPr="00805F65">
        <w:rPr>
          <w:rFonts w:ascii="Arial" w:hAnsi="Arial" w:cs="Arial"/>
          <w:b/>
          <w:bCs/>
          <w:iCs/>
          <w:color w:val="auto"/>
          <w:sz w:val="24"/>
          <w:szCs w:val="24"/>
        </w:rPr>
        <w:t>Da COMISSÃO MISTA DE PLANOS, ORÇAMENTOS PÚBLICOS E FISCALIZAÇÃO,</w:t>
      </w:r>
      <w:r w:rsidR="00330D1F" w:rsidRPr="00805F65">
        <w:rPr>
          <w:rFonts w:ascii="Arial" w:hAnsi="Arial" w:cs="Arial"/>
          <w:b/>
          <w:bCs/>
          <w:iCs/>
          <w:color w:val="auto"/>
          <w:sz w:val="24"/>
          <w:szCs w:val="24"/>
        </w:rPr>
        <w:t xml:space="preserve"> </w:t>
      </w:r>
      <w:r w:rsidR="00330D1F" w:rsidRPr="00805F65">
        <w:rPr>
          <w:rFonts w:ascii="Arial" w:hAnsi="Arial" w:cs="Arial"/>
          <w:bCs/>
          <w:iCs/>
          <w:color w:val="auto"/>
          <w:sz w:val="24"/>
          <w:szCs w:val="24"/>
        </w:rPr>
        <w:t>sobre</w:t>
      </w:r>
      <w:r w:rsidR="007F1EDE" w:rsidRPr="00805F65">
        <w:rPr>
          <w:rFonts w:ascii="Arial" w:hAnsi="Arial" w:cs="Arial"/>
          <w:bCs/>
          <w:iCs/>
          <w:color w:val="auto"/>
          <w:sz w:val="24"/>
          <w:szCs w:val="24"/>
        </w:rPr>
        <w:t xml:space="preserve"> o</w:t>
      </w:r>
      <w:r w:rsidR="00330D1F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s Relatórios de Gestão Fiscal </w:t>
      </w:r>
      <w:r w:rsidR="00F63DD6">
        <w:rPr>
          <w:rFonts w:ascii="Arial" w:hAnsi="Arial" w:cs="Arial"/>
          <w:color w:val="auto"/>
          <w:spacing w:val="0"/>
          <w:sz w:val="24"/>
          <w:szCs w:val="24"/>
        </w:rPr>
        <w:t>do</w:t>
      </w:r>
      <w:r w:rsidR="00330D1F" w:rsidRPr="00473E10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 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2</w:t>
      </w:r>
      <w:r w:rsidR="004C4EDC" w:rsidRPr="00473E10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º </w:t>
      </w:r>
      <w:r w:rsidR="000251BA" w:rsidRPr="00473E10">
        <w:rPr>
          <w:rFonts w:ascii="Arial" w:hAnsi="Arial" w:cs="Arial"/>
          <w:b/>
          <w:color w:val="auto"/>
          <w:spacing w:val="0"/>
          <w:sz w:val="24"/>
          <w:szCs w:val="24"/>
        </w:rPr>
        <w:t>Quadrimestre de 201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6</w:t>
      </w:r>
      <w:r w:rsidR="00D337ED">
        <w:rPr>
          <w:rFonts w:ascii="Arial" w:hAnsi="Arial" w:cs="Arial"/>
          <w:color w:val="auto"/>
          <w:spacing w:val="0"/>
          <w:sz w:val="24"/>
          <w:szCs w:val="24"/>
        </w:rPr>
        <w:t>, referentes ao Aviso</w:t>
      </w:r>
      <w:r w:rsidR="00330D1F" w:rsidRPr="00805F65">
        <w:rPr>
          <w:rFonts w:ascii="Arial" w:hAnsi="Arial" w:cs="Arial"/>
          <w:color w:val="auto"/>
          <w:spacing w:val="0"/>
          <w:sz w:val="24"/>
          <w:szCs w:val="24"/>
        </w:rPr>
        <w:t>:</w:t>
      </w:r>
      <w:r w:rsidR="003915FD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F228E8">
        <w:rPr>
          <w:b/>
          <w:bCs/>
          <w:sz w:val="24"/>
        </w:rPr>
        <w:t xml:space="preserve">AVN nº </w:t>
      </w:r>
      <w:r w:rsidR="003D4879">
        <w:rPr>
          <w:b/>
          <w:bCs/>
          <w:sz w:val="24"/>
        </w:rPr>
        <w:t>4</w:t>
      </w:r>
      <w:r w:rsidR="00F228E8">
        <w:rPr>
          <w:b/>
          <w:bCs/>
          <w:sz w:val="24"/>
        </w:rPr>
        <w:t xml:space="preserve">, de </w:t>
      </w:r>
      <w:r w:rsidR="004C4EDC">
        <w:rPr>
          <w:b/>
          <w:bCs/>
          <w:sz w:val="24"/>
        </w:rPr>
        <w:t>201</w:t>
      </w:r>
      <w:r w:rsidR="003D4879">
        <w:rPr>
          <w:b/>
          <w:bCs/>
          <w:sz w:val="24"/>
        </w:rPr>
        <w:t>7</w:t>
      </w:r>
      <w:r w:rsidR="00F228E8">
        <w:rPr>
          <w:b/>
          <w:bCs/>
          <w:sz w:val="24"/>
        </w:rPr>
        <w:t>-CN</w:t>
      </w:r>
      <w:r w:rsidR="00F228E8" w:rsidRPr="004F3ED9">
        <w:rPr>
          <w:sz w:val="24"/>
        </w:rPr>
        <w:t xml:space="preserve">, que </w:t>
      </w:r>
      <w:r w:rsidR="004F3ED9" w:rsidRPr="004F3ED9">
        <w:rPr>
          <w:sz w:val="24"/>
        </w:rPr>
        <w:t>“</w:t>
      </w:r>
      <w:r w:rsidR="003D4879" w:rsidRPr="003D4879">
        <w:rPr>
          <w:i/>
          <w:sz w:val="24"/>
        </w:rPr>
        <w:t>Encaminha cópia do Acórdão nº 199/2017-TCU-Plenário, referente ao acompanhamento dos Relatórios de Gestão Fiscal do segundo quadrimestre de 2016 (TC 023.916/2016-8)</w:t>
      </w:r>
      <w:r w:rsidR="004F3ED9" w:rsidRPr="004F3ED9">
        <w:rPr>
          <w:sz w:val="24"/>
        </w:rPr>
        <w:t>”.</w:t>
      </w:r>
    </w:p>
    <w:bookmarkEnd w:id="0"/>
    <w:p w:rsidR="00964D10" w:rsidRPr="00F907B3" w:rsidRDefault="00964D10" w:rsidP="00805F65">
      <w:pPr>
        <w:autoSpaceDE w:val="0"/>
        <w:autoSpaceDN w:val="0"/>
        <w:adjustRightInd w:val="0"/>
        <w:spacing w:after="240" w:line="360" w:lineRule="auto"/>
        <w:ind w:left="2977"/>
        <w:rPr>
          <w:rFonts w:ascii="Arial" w:hAnsi="Arial" w:cs="Arial"/>
          <w:b/>
          <w:bCs/>
          <w:sz w:val="24"/>
          <w:szCs w:val="24"/>
        </w:rPr>
      </w:pPr>
      <w:r w:rsidRPr="00F907B3">
        <w:rPr>
          <w:rFonts w:ascii="Arial" w:hAnsi="Arial" w:cs="Arial"/>
          <w:b/>
          <w:bCs/>
          <w:sz w:val="24"/>
          <w:szCs w:val="24"/>
        </w:rPr>
        <w:t xml:space="preserve">RELATOR: DEPUTADO </w:t>
      </w:r>
      <w:r w:rsidR="003D4879">
        <w:rPr>
          <w:rFonts w:ascii="Arial" w:hAnsi="Arial" w:cs="Arial"/>
          <w:b/>
          <w:bCs/>
          <w:sz w:val="24"/>
          <w:szCs w:val="24"/>
        </w:rPr>
        <w:t>EDMAR</w:t>
      </w:r>
      <w:r w:rsidR="004F3ED9">
        <w:rPr>
          <w:rFonts w:ascii="Arial" w:hAnsi="Arial" w:cs="Arial"/>
          <w:b/>
          <w:bCs/>
          <w:sz w:val="24"/>
          <w:szCs w:val="24"/>
        </w:rPr>
        <w:t xml:space="preserve"> </w:t>
      </w:r>
      <w:r w:rsidR="003D4879">
        <w:rPr>
          <w:rFonts w:ascii="Arial" w:hAnsi="Arial" w:cs="Arial"/>
          <w:b/>
          <w:bCs/>
          <w:sz w:val="24"/>
          <w:szCs w:val="24"/>
        </w:rPr>
        <w:t>ARRUDA</w:t>
      </w:r>
      <w:r w:rsidRPr="00F907B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4309F" w:rsidRPr="00805F65" w:rsidRDefault="007D42AB" w:rsidP="00805F65">
      <w:pPr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240" w:line="360" w:lineRule="auto"/>
        <w:ind w:hanging="1500"/>
        <w:rPr>
          <w:rFonts w:ascii="Arial" w:hAnsi="Arial" w:cs="Arial"/>
          <w:b/>
          <w:bCs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b/>
          <w:bCs/>
          <w:color w:val="auto"/>
          <w:spacing w:val="0"/>
          <w:sz w:val="24"/>
          <w:szCs w:val="24"/>
        </w:rPr>
        <w:t>RELATÓRIO</w:t>
      </w:r>
    </w:p>
    <w:p w:rsidR="0042496B" w:rsidRDefault="005F7F15" w:rsidP="0042496B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ab/>
      </w:r>
      <w:r w:rsidR="00EE69DE">
        <w:rPr>
          <w:rFonts w:ascii="Arial" w:hAnsi="Arial" w:cs="Arial"/>
          <w:color w:val="auto"/>
          <w:spacing w:val="0"/>
          <w:sz w:val="24"/>
          <w:szCs w:val="24"/>
        </w:rPr>
        <w:t>Cuidam estes autos d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>o</w:t>
      </w:r>
      <w:r w:rsidR="008015F6" w:rsidRPr="00805F65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Relatório</w:t>
      </w:r>
      <w:r w:rsidR="008015F6" w:rsidRPr="00805F65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de Gestão Fiscal </w:t>
      </w:r>
      <w:r w:rsidR="00294026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(RGF) </w:t>
      </w:r>
      <w:r w:rsidR="008015F6" w:rsidRPr="00805F65">
        <w:rPr>
          <w:rFonts w:ascii="Arial" w:hAnsi="Arial" w:cs="Arial"/>
          <w:color w:val="auto"/>
          <w:spacing w:val="0"/>
          <w:sz w:val="24"/>
          <w:szCs w:val="24"/>
        </w:rPr>
        <w:t>elaborados pelos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órgãos e entidades dos Poderes Executivo, Legislativo e Judiciário e o Ministério Público da União </w:t>
      </w:r>
      <w:r w:rsidR="008015F6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relativos ao 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2</w:t>
      </w:r>
      <w:r w:rsidR="0020369D" w:rsidRPr="00EB6D95">
        <w:rPr>
          <w:rFonts w:ascii="Arial" w:hAnsi="Arial" w:cs="Arial"/>
          <w:b/>
          <w:color w:val="auto"/>
          <w:spacing w:val="0"/>
          <w:sz w:val="24"/>
          <w:szCs w:val="24"/>
        </w:rPr>
        <w:t>º</w:t>
      </w:r>
      <w:r w:rsidR="0020369D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 </w:t>
      </w:r>
      <w:r w:rsidR="008015F6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>Quadrimestre de 201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6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, </w:t>
      </w:r>
      <w:r w:rsidR="0042496B">
        <w:rPr>
          <w:rFonts w:ascii="Arial" w:hAnsi="Arial" w:cs="Arial"/>
          <w:color w:val="auto"/>
          <w:spacing w:val="0"/>
          <w:sz w:val="24"/>
          <w:szCs w:val="24"/>
        </w:rPr>
        <w:t xml:space="preserve">bem como sobre </w:t>
      </w:r>
      <w:r w:rsidR="00CE0B06">
        <w:rPr>
          <w:rFonts w:ascii="Arial" w:hAnsi="Arial" w:cs="Arial"/>
          <w:color w:val="auto"/>
          <w:spacing w:val="0"/>
          <w:sz w:val="24"/>
          <w:szCs w:val="24"/>
        </w:rPr>
        <w:t xml:space="preserve">a avaliação promovida pelo Tribunal de Contas da União 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(</w:t>
      </w:r>
      <w:r w:rsidR="00CE0B06">
        <w:rPr>
          <w:rFonts w:ascii="Arial" w:hAnsi="Arial" w:cs="Arial"/>
          <w:color w:val="auto"/>
          <w:spacing w:val="0"/>
          <w:sz w:val="24"/>
          <w:szCs w:val="24"/>
        </w:rPr>
        <w:t>TCU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)</w:t>
      </w:r>
      <w:r w:rsidR="00CE0B06">
        <w:rPr>
          <w:rFonts w:ascii="Arial" w:hAnsi="Arial" w:cs="Arial"/>
          <w:color w:val="auto"/>
          <w:spacing w:val="0"/>
          <w:sz w:val="24"/>
          <w:szCs w:val="24"/>
        </w:rPr>
        <w:t xml:space="preserve"> sob</w:t>
      </w:r>
      <w:r w:rsidR="00925B59">
        <w:rPr>
          <w:rFonts w:ascii="Arial" w:hAnsi="Arial" w:cs="Arial"/>
          <w:color w:val="auto"/>
          <w:spacing w:val="0"/>
          <w:sz w:val="24"/>
          <w:szCs w:val="24"/>
        </w:rPr>
        <w:t xml:space="preserve">re os relatórios apresentados por aqueles </w:t>
      </w:r>
      <w:r w:rsidR="00CE0B06">
        <w:rPr>
          <w:rFonts w:ascii="Arial" w:hAnsi="Arial" w:cs="Arial"/>
          <w:color w:val="auto"/>
          <w:spacing w:val="0"/>
          <w:sz w:val="24"/>
          <w:szCs w:val="24"/>
        </w:rPr>
        <w:t>órgãos, nos termos consignados no</w:t>
      </w:r>
      <w:r w:rsidR="0042496B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42496B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AVN 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4</w:t>
      </w:r>
      <w:r w:rsidR="0042496B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>/</w:t>
      </w:r>
      <w:r w:rsidR="0020369D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>201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7</w:t>
      </w:r>
      <w:r w:rsidR="0042496B" w:rsidRPr="00805F65">
        <w:rPr>
          <w:rFonts w:ascii="Arial" w:hAnsi="Arial" w:cs="Arial"/>
          <w:b/>
          <w:color w:val="auto"/>
          <w:spacing w:val="0"/>
          <w:sz w:val="24"/>
          <w:szCs w:val="24"/>
        </w:rPr>
        <w:t>-CN</w:t>
      </w:r>
      <w:r w:rsidR="0042496B" w:rsidRPr="00805F65">
        <w:rPr>
          <w:rFonts w:ascii="Arial" w:hAnsi="Arial" w:cs="Arial"/>
          <w:color w:val="auto"/>
          <w:spacing w:val="0"/>
          <w:sz w:val="24"/>
          <w:szCs w:val="24"/>
        </w:rPr>
        <w:t>.</w:t>
      </w:r>
    </w:p>
    <w:p w:rsidR="000803A0" w:rsidRDefault="000803A0" w:rsidP="000803A0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>
        <w:rPr>
          <w:rFonts w:ascii="Arial" w:hAnsi="Arial" w:cs="Arial"/>
          <w:color w:val="auto"/>
          <w:spacing w:val="0"/>
          <w:sz w:val="24"/>
          <w:szCs w:val="24"/>
        </w:rPr>
        <w:tab/>
        <w:t>A c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>ompet</w:t>
      </w:r>
      <w:r>
        <w:rPr>
          <w:rFonts w:ascii="Arial" w:hAnsi="Arial" w:cs="Arial"/>
          <w:color w:val="auto"/>
          <w:spacing w:val="0"/>
          <w:sz w:val="24"/>
          <w:szCs w:val="24"/>
        </w:rPr>
        <w:t>ência d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>esta Comissão</w:t>
      </w:r>
      <w:r>
        <w:rPr>
          <w:rFonts w:ascii="Arial" w:hAnsi="Arial" w:cs="Arial"/>
          <w:color w:val="auto"/>
          <w:spacing w:val="0"/>
          <w:sz w:val="24"/>
          <w:szCs w:val="24"/>
        </w:rPr>
        <w:t xml:space="preserve"> para tratar do assunto consta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do art. 2º, </w:t>
      </w:r>
      <w:r>
        <w:rPr>
          <w:rFonts w:ascii="Arial" w:hAnsi="Arial" w:cs="Arial"/>
          <w:color w:val="auto"/>
          <w:spacing w:val="0"/>
          <w:sz w:val="24"/>
          <w:szCs w:val="24"/>
        </w:rPr>
        <w:t xml:space="preserve">inciso 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>III, da Resolução nº 1/</w:t>
      </w:r>
      <w:r w:rsidR="0020369D" w:rsidRPr="003A7E6E">
        <w:rPr>
          <w:rFonts w:ascii="Arial" w:hAnsi="Arial" w:cs="Arial"/>
          <w:color w:val="auto"/>
          <w:spacing w:val="0"/>
          <w:sz w:val="24"/>
          <w:szCs w:val="24"/>
        </w:rPr>
        <w:t>200</w:t>
      </w:r>
      <w:r w:rsidR="0020369D">
        <w:rPr>
          <w:rFonts w:ascii="Arial" w:hAnsi="Arial" w:cs="Arial"/>
          <w:color w:val="auto"/>
          <w:spacing w:val="0"/>
          <w:sz w:val="24"/>
          <w:szCs w:val="24"/>
        </w:rPr>
        <w:t>6</w:t>
      </w:r>
      <w:r w:rsidR="0020369D"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– CN, </w:t>
      </w:r>
      <w:r>
        <w:rPr>
          <w:rFonts w:ascii="Arial" w:hAnsi="Arial" w:cs="Arial"/>
          <w:color w:val="auto"/>
          <w:spacing w:val="0"/>
          <w:sz w:val="24"/>
          <w:szCs w:val="24"/>
        </w:rPr>
        <w:t>nos seguintes termos:</w:t>
      </w:r>
    </w:p>
    <w:p w:rsidR="000803A0" w:rsidRDefault="000803A0" w:rsidP="000803A0">
      <w:pPr>
        <w:spacing w:after="120"/>
        <w:ind w:left="1134"/>
        <w:rPr>
          <w:rFonts w:ascii="Arial" w:hAnsi="Arial" w:cs="Arial"/>
          <w:i/>
          <w:spacing w:val="0"/>
          <w:sz w:val="22"/>
          <w:szCs w:val="22"/>
          <w:shd w:val="clear" w:color="auto" w:fill="F9F9F9"/>
        </w:rPr>
      </w:pPr>
      <w:r w:rsidRPr="002C3D52">
        <w:rPr>
          <w:rFonts w:ascii="Arial" w:hAnsi="Arial" w:cs="Arial"/>
          <w:i/>
          <w:spacing w:val="0"/>
          <w:sz w:val="22"/>
          <w:szCs w:val="22"/>
          <w:shd w:val="clear" w:color="auto" w:fill="F9F9F9"/>
        </w:rPr>
        <w:t>Art. 2º A CMO tem por competência emitir parecer e deliberar sobre:</w:t>
      </w:r>
    </w:p>
    <w:p w:rsidR="000803A0" w:rsidRDefault="000803A0" w:rsidP="000803A0">
      <w:pPr>
        <w:spacing w:after="120"/>
        <w:ind w:left="1134"/>
        <w:rPr>
          <w:rFonts w:ascii="Arial" w:hAnsi="Arial" w:cs="Arial"/>
          <w:i/>
          <w:spacing w:val="0"/>
          <w:sz w:val="22"/>
          <w:szCs w:val="22"/>
          <w:shd w:val="clear" w:color="auto" w:fill="F9F9F9"/>
        </w:rPr>
      </w:pPr>
      <w:r w:rsidRPr="002C3D52">
        <w:rPr>
          <w:rFonts w:ascii="Arial" w:hAnsi="Arial" w:cs="Arial"/>
          <w:i/>
          <w:spacing w:val="0"/>
          <w:sz w:val="22"/>
          <w:szCs w:val="22"/>
          <w:shd w:val="clear" w:color="auto" w:fill="F9F9F9"/>
        </w:rPr>
        <w:t> ...........................</w:t>
      </w:r>
    </w:p>
    <w:p w:rsidR="000803A0" w:rsidRPr="002C3D52" w:rsidRDefault="000803A0" w:rsidP="000803A0">
      <w:pPr>
        <w:spacing w:after="120"/>
        <w:ind w:left="1134"/>
        <w:rPr>
          <w:rFonts w:ascii="Arial" w:hAnsi="Arial" w:cs="Arial"/>
          <w:i/>
          <w:color w:val="auto"/>
          <w:spacing w:val="0"/>
          <w:sz w:val="22"/>
          <w:szCs w:val="22"/>
        </w:rPr>
      </w:pPr>
      <w:r w:rsidRPr="002C3D52">
        <w:rPr>
          <w:rFonts w:ascii="Arial" w:hAnsi="Arial" w:cs="Arial"/>
          <w:i/>
          <w:spacing w:val="0"/>
          <w:sz w:val="22"/>
          <w:szCs w:val="22"/>
          <w:shd w:val="clear" w:color="auto" w:fill="F9F9F9"/>
        </w:rPr>
        <w:t>III - documentos pertinentes ao acompanhamento e fiscalização da execução orçamentária e financeira e da gestão fiscal, nos termos dos arts. 70 a 72 e art. 166, § 1º, II, da Constituição, e da Lei Complementar nº 101, de 2000, especialmente sobre: </w:t>
      </w:r>
    </w:p>
    <w:p w:rsidR="000803A0" w:rsidRPr="002C3D52" w:rsidRDefault="000803A0" w:rsidP="000803A0">
      <w:pPr>
        <w:spacing w:after="240" w:line="360" w:lineRule="auto"/>
        <w:ind w:left="1134"/>
        <w:rPr>
          <w:rFonts w:ascii="Arial" w:hAnsi="Arial" w:cs="Arial"/>
          <w:i/>
          <w:spacing w:val="0"/>
          <w:sz w:val="22"/>
          <w:szCs w:val="22"/>
        </w:rPr>
      </w:pPr>
      <w:r w:rsidRPr="002C3D52">
        <w:rPr>
          <w:rFonts w:ascii="Arial" w:hAnsi="Arial" w:cs="Arial"/>
          <w:i/>
          <w:iCs/>
          <w:spacing w:val="0"/>
          <w:sz w:val="22"/>
          <w:szCs w:val="22"/>
        </w:rPr>
        <w:t>a)</w:t>
      </w:r>
      <w:r w:rsidRPr="002C3D52">
        <w:rPr>
          <w:rFonts w:ascii="Arial" w:hAnsi="Arial" w:cs="Arial"/>
          <w:i/>
          <w:spacing w:val="0"/>
          <w:sz w:val="22"/>
          <w:szCs w:val="22"/>
        </w:rPr>
        <w:tab/>
        <w:t>os relatórios de gestão fiscal, previstos no art. 54 da Lei Complementar nº 101, de 2000;</w:t>
      </w:r>
    </w:p>
    <w:p w:rsidR="00E93539" w:rsidRDefault="00E93539" w:rsidP="00E93539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>
        <w:rPr>
          <w:rFonts w:ascii="Arial" w:hAnsi="Arial" w:cs="Arial"/>
          <w:color w:val="auto"/>
          <w:spacing w:val="0"/>
          <w:sz w:val="24"/>
          <w:szCs w:val="24"/>
        </w:rPr>
        <w:tab/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A matéria </w:t>
      </w:r>
      <w:r>
        <w:rPr>
          <w:rFonts w:ascii="Arial" w:hAnsi="Arial" w:cs="Arial"/>
          <w:color w:val="auto"/>
          <w:spacing w:val="0"/>
          <w:sz w:val="24"/>
          <w:szCs w:val="24"/>
        </w:rPr>
        <w:t>está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disciplinada </w:t>
      </w:r>
      <w:r>
        <w:rPr>
          <w:rFonts w:ascii="Arial" w:hAnsi="Arial" w:cs="Arial"/>
          <w:color w:val="auto"/>
          <w:spacing w:val="0"/>
          <w:sz w:val="24"/>
          <w:szCs w:val="24"/>
        </w:rPr>
        <w:t>na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Lei Complementar nº 101, de 2000 (Lei de Responsabilidade Fiscal </w:t>
      </w:r>
      <w:r>
        <w:rPr>
          <w:rFonts w:ascii="Arial" w:hAnsi="Arial" w:cs="Arial"/>
          <w:color w:val="auto"/>
          <w:spacing w:val="0"/>
          <w:sz w:val="24"/>
          <w:szCs w:val="24"/>
        </w:rPr>
        <w:t>–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>
        <w:rPr>
          <w:rFonts w:ascii="Arial" w:hAnsi="Arial" w:cs="Arial"/>
          <w:color w:val="auto"/>
          <w:spacing w:val="0"/>
          <w:sz w:val="24"/>
          <w:szCs w:val="24"/>
        </w:rPr>
        <w:t xml:space="preserve">LRF, 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artigos 54 e 55), </w:t>
      </w:r>
      <w:r>
        <w:rPr>
          <w:rFonts w:ascii="Arial" w:hAnsi="Arial" w:cs="Arial"/>
          <w:color w:val="auto"/>
          <w:spacing w:val="0"/>
          <w:sz w:val="24"/>
          <w:szCs w:val="24"/>
        </w:rPr>
        <w:t>nas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 xml:space="preserve"> leis de diretrizes orçamentárias e </w:t>
      </w:r>
      <w:r>
        <w:rPr>
          <w:rFonts w:ascii="Arial" w:hAnsi="Arial" w:cs="Arial"/>
          <w:color w:val="auto"/>
          <w:spacing w:val="0"/>
          <w:sz w:val="24"/>
          <w:szCs w:val="24"/>
        </w:rPr>
        <w:t xml:space="preserve">na 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>Lei de Crimes Fiscais (inciso I do art. 5º da Lei 10.028</w:t>
      </w:r>
      <w:r>
        <w:rPr>
          <w:rFonts w:ascii="Arial" w:hAnsi="Arial" w:cs="Arial"/>
          <w:color w:val="auto"/>
          <w:spacing w:val="0"/>
          <w:sz w:val="24"/>
          <w:szCs w:val="24"/>
        </w:rPr>
        <w:t xml:space="preserve">, de </w:t>
      </w:r>
      <w:r w:rsidRPr="003A7E6E">
        <w:rPr>
          <w:rFonts w:ascii="Arial" w:hAnsi="Arial" w:cs="Arial"/>
          <w:color w:val="auto"/>
          <w:spacing w:val="0"/>
          <w:sz w:val="24"/>
          <w:szCs w:val="24"/>
        </w:rPr>
        <w:t>2000).</w:t>
      </w:r>
    </w:p>
    <w:p w:rsidR="001C58EA" w:rsidRPr="00805F65" w:rsidRDefault="00E93539" w:rsidP="00805F65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>
        <w:rPr>
          <w:rFonts w:ascii="Arial" w:hAnsi="Arial" w:cs="Arial"/>
          <w:color w:val="auto"/>
          <w:spacing w:val="0"/>
          <w:sz w:val="24"/>
          <w:szCs w:val="24"/>
        </w:rPr>
        <w:lastRenderedPageBreak/>
        <w:tab/>
      </w:r>
      <w:r w:rsidR="00CF1731" w:rsidRPr="00805F65">
        <w:rPr>
          <w:rFonts w:ascii="Arial" w:hAnsi="Arial" w:cs="Arial"/>
          <w:color w:val="auto"/>
          <w:spacing w:val="0"/>
          <w:sz w:val="24"/>
          <w:szCs w:val="24"/>
        </w:rPr>
        <w:t>O</w:t>
      </w:r>
      <w:r w:rsidR="00294026" w:rsidRPr="00805F65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="002C4F59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arts. 54 e 55 d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>a Lei Complementar nº 101, de 2000 (Lei de</w:t>
      </w:r>
      <w:r w:rsidR="00033953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Responsabilidade Fiscal - </w:t>
      </w:r>
      <w:r w:rsidR="002C4F59" w:rsidRPr="00805F65">
        <w:rPr>
          <w:rFonts w:ascii="Arial" w:hAnsi="Arial" w:cs="Arial"/>
          <w:color w:val="auto"/>
          <w:spacing w:val="0"/>
          <w:sz w:val="24"/>
          <w:szCs w:val="24"/>
        </w:rPr>
        <w:t>LRF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), </w:t>
      </w:r>
      <w:r w:rsidR="00441C65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e o Manual de Demonstrativos Fiscais, aprovado pela Portaria </w:t>
      </w:r>
      <w:r w:rsidR="00176148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STN/MF </w:t>
      </w:r>
      <w:r w:rsidR="00441C65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nº </w:t>
      </w:r>
      <w:r w:rsidR="004F3ED9">
        <w:rPr>
          <w:rFonts w:ascii="Arial" w:hAnsi="Arial" w:cs="Arial"/>
          <w:color w:val="auto"/>
          <w:spacing w:val="0"/>
          <w:sz w:val="24"/>
          <w:szCs w:val="24"/>
        </w:rPr>
        <w:t>553</w:t>
      </w:r>
      <w:r w:rsidR="00441C65" w:rsidRPr="00805F65">
        <w:rPr>
          <w:rFonts w:ascii="Arial" w:hAnsi="Arial" w:cs="Arial"/>
          <w:color w:val="auto"/>
          <w:spacing w:val="0"/>
          <w:sz w:val="24"/>
          <w:szCs w:val="24"/>
        </w:rPr>
        <w:t>, de 201</w:t>
      </w:r>
      <w:r w:rsidR="004F3ED9">
        <w:rPr>
          <w:rFonts w:ascii="Arial" w:hAnsi="Arial" w:cs="Arial"/>
          <w:color w:val="auto"/>
          <w:spacing w:val="0"/>
          <w:sz w:val="24"/>
          <w:szCs w:val="24"/>
        </w:rPr>
        <w:t>4</w:t>
      </w:r>
      <w:r w:rsidR="00176148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, </w:t>
      </w:r>
      <w:r w:rsidR="00CF1731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determinam que </w:t>
      </w:r>
      <w:r w:rsidR="00294026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o RGF deve ter </w:t>
      </w:r>
      <w:r w:rsidR="002C4F59" w:rsidRPr="00805F65">
        <w:rPr>
          <w:rFonts w:ascii="Arial" w:hAnsi="Arial" w:cs="Arial"/>
          <w:color w:val="auto"/>
          <w:spacing w:val="0"/>
          <w:sz w:val="24"/>
          <w:szCs w:val="24"/>
        </w:rPr>
        <w:t>o seguinte conteúdo</w:t>
      </w:r>
      <w:r w:rsidR="001C58EA" w:rsidRPr="00805F65">
        <w:rPr>
          <w:rFonts w:ascii="Arial" w:hAnsi="Arial" w:cs="Arial"/>
          <w:color w:val="auto"/>
          <w:spacing w:val="0"/>
          <w:sz w:val="24"/>
          <w:szCs w:val="24"/>
        </w:rPr>
        <w:t>.</w:t>
      </w:r>
    </w:p>
    <w:p w:rsidR="002C4F59" w:rsidRPr="00805F65" w:rsidRDefault="002C4F59" w:rsidP="000803A0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after="120" w:line="360" w:lineRule="auto"/>
        <w:ind w:left="1418" w:hanging="284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despesa total com pessoal, evidenciando as despesas com ativos, inativos e pensionistas; </w:t>
      </w:r>
    </w:p>
    <w:p w:rsidR="002C4F59" w:rsidRPr="00805F65" w:rsidRDefault="002C4F59" w:rsidP="000803A0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after="120" w:line="360" w:lineRule="auto"/>
        <w:ind w:left="1418" w:hanging="284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dívida consolidada; </w:t>
      </w:r>
    </w:p>
    <w:p w:rsidR="002C4F59" w:rsidRPr="00805F65" w:rsidRDefault="002C4F59" w:rsidP="000803A0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after="120" w:line="360" w:lineRule="auto"/>
        <w:ind w:left="1418" w:hanging="284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concessão de garantias e contragarantias; e </w:t>
      </w:r>
    </w:p>
    <w:p w:rsidR="002C4F59" w:rsidRPr="00805F65" w:rsidRDefault="002C4F59" w:rsidP="000803A0">
      <w:pPr>
        <w:numPr>
          <w:ilvl w:val="0"/>
          <w:numId w:val="39"/>
        </w:numPr>
        <w:tabs>
          <w:tab w:val="left" w:pos="1418"/>
        </w:tabs>
        <w:autoSpaceDE w:val="0"/>
        <w:autoSpaceDN w:val="0"/>
        <w:adjustRightInd w:val="0"/>
        <w:spacing w:after="240" w:line="360" w:lineRule="auto"/>
        <w:ind w:left="1418" w:hanging="284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operações de crédito. </w:t>
      </w:r>
    </w:p>
    <w:p w:rsidR="00D310D7" w:rsidRPr="00D310D7" w:rsidRDefault="002C4F59" w:rsidP="00D310D7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ab/>
        <w:t xml:space="preserve">Segundo consta do </w:t>
      </w:r>
      <w:r w:rsidR="00D310D7">
        <w:rPr>
          <w:rFonts w:ascii="Arial" w:hAnsi="Arial" w:cs="Arial"/>
          <w:color w:val="auto"/>
          <w:spacing w:val="0"/>
          <w:sz w:val="24"/>
          <w:szCs w:val="24"/>
        </w:rPr>
        <w:t xml:space="preserve">Relatório e 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>Voto que fundament</w:t>
      </w:r>
      <w:r w:rsidR="00D310D7">
        <w:rPr>
          <w:rFonts w:ascii="Arial" w:hAnsi="Arial" w:cs="Arial"/>
          <w:color w:val="auto"/>
          <w:spacing w:val="0"/>
          <w:sz w:val="24"/>
          <w:szCs w:val="24"/>
        </w:rPr>
        <w:t>aram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o Acórdão nº 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199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>/</w:t>
      </w:r>
      <w:r w:rsidR="00120776" w:rsidRPr="00D310D7">
        <w:rPr>
          <w:rFonts w:ascii="Arial" w:hAnsi="Arial" w:cs="Arial"/>
          <w:color w:val="auto"/>
          <w:spacing w:val="0"/>
          <w:sz w:val="24"/>
          <w:szCs w:val="24"/>
        </w:rPr>
        <w:t>201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7</w:t>
      </w:r>
      <w:r w:rsidR="00120776" w:rsidRPr="00D310D7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>-</w:t>
      </w:r>
      <w:r w:rsidR="00C94007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>Plenário (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 xml:space="preserve">TC </w:t>
      </w:r>
      <w:r w:rsidR="00120776" w:rsidRPr="00D310D7">
        <w:rPr>
          <w:rFonts w:ascii="Arial" w:hAnsi="Arial" w:cs="Arial"/>
          <w:color w:val="auto"/>
          <w:spacing w:val="0"/>
          <w:sz w:val="24"/>
          <w:szCs w:val="24"/>
        </w:rPr>
        <w:t>0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23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>.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916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>/201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6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>-</w:t>
      </w:r>
      <w:r w:rsidR="003D4879">
        <w:rPr>
          <w:rFonts w:ascii="Arial" w:hAnsi="Arial" w:cs="Arial"/>
          <w:color w:val="auto"/>
          <w:spacing w:val="0"/>
          <w:sz w:val="24"/>
          <w:szCs w:val="24"/>
        </w:rPr>
        <w:t>8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) relativo ao 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2</w:t>
      </w:r>
      <w:r w:rsidR="00120776" w:rsidRPr="00C94007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º </w:t>
      </w:r>
      <w:r w:rsidR="00E559F3" w:rsidRPr="00C94007">
        <w:rPr>
          <w:rFonts w:ascii="Arial" w:hAnsi="Arial" w:cs="Arial"/>
          <w:b/>
          <w:color w:val="auto"/>
          <w:spacing w:val="0"/>
          <w:sz w:val="24"/>
          <w:szCs w:val="24"/>
        </w:rPr>
        <w:t>Quadrimestre de 201</w:t>
      </w:r>
      <w:r w:rsidR="003D4879">
        <w:rPr>
          <w:rFonts w:ascii="Arial" w:hAnsi="Arial" w:cs="Arial"/>
          <w:b/>
          <w:color w:val="auto"/>
          <w:spacing w:val="0"/>
          <w:sz w:val="24"/>
          <w:szCs w:val="24"/>
        </w:rPr>
        <w:t>6</w:t>
      </w:r>
      <w:r w:rsidR="00E559F3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, </w:t>
      </w:r>
      <w:r w:rsidR="004B37E4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a análise empreendida no âmbito do TCU </w:t>
      </w:r>
      <w:r w:rsidR="00D310D7">
        <w:rPr>
          <w:rFonts w:ascii="Arial" w:hAnsi="Arial" w:cs="Arial"/>
          <w:color w:val="auto"/>
          <w:spacing w:val="0"/>
          <w:sz w:val="24"/>
          <w:szCs w:val="24"/>
        </w:rPr>
        <w:t xml:space="preserve">teve por objetivo verificar se os relatórios publicados pelos titulares dos Poderes e órgãos autônomos da União observaram as determinações 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>estabelecidas pela L</w:t>
      </w:r>
      <w:r w:rsidR="00116E07">
        <w:rPr>
          <w:rFonts w:ascii="Arial" w:hAnsi="Arial" w:cs="Arial"/>
          <w:color w:val="auto"/>
          <w:spacing w:val="0"/>
          <w:sz w:val="24"/>
          <w:szCs w:val="24"/>
        </w:rPr>
        <w:t>RF</w:t>
      </w:r>
      <w:r w:rsidR="00D310D7" w:rsidRPr="00D310D7">
        <w:rPr>
          <w:rFonts w:ascii="Arial" w:hAnsi="Arial" w:cs="Arial"/>
          <w:color w:val="auto"/>
          <w:spacing w:val="0"/>
          <w:sz w:val="24"/>
          <w:szCs w:val="24"/>
        </w:rPr>
        <w:t xml:space="preserve">. </w:t>
      </w:r>
    </w:p>
    <w:p w:rsidR="00060E5B" w:rsidRPr="0093586B" w:rsidRDefault="007D42AB" w:rsidP="007340C4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D310D7">
        <w:rPr>
          <w:rFonts w:ascii="Arial" w:hAnsi="Arial" w:cs="Arial"/>
          <w:color w:val="FF0000"/>
          <w:sz w:val="24"/>
          <w:szCs w:val="24"/>
        </w:rPr>
        <w:tab/>
      </w:r>
      <w:r w:rsidR="00C94007" w:rsidRPr="0093586B">
        <w:rPr>
          <w:rFonts w:ascii="Arial" w:hAnsi="Arial" w:cs="Arial"/>
          <w:color w:val="auto"/>
          <w:spacing w:val="0"/>
          <w:sz w:val="24"/>
          <w:szCs w:val="24"/>
        </w:rPr>
        <w:t>Após a análise, o TCU</w:t>
      </w:r>
      <w:r w:rsidR="00817C39" w:rsidRPr="0093586B">
        <w:rPr>
          <w:rFonts w:ascii="Arial" w:hAnsi="Arial" w:cs="Arial"/>
          <w:color w:val="auto"/>
          <w:spacing w:val="0"/>
          <w:sz w:val="24"/>
          <w:szCs w:val="24"/>
        </w:rPr>
        <w:t xml:space="preserve"> considerou atendidas as exigências da LRF nos seguintes termos</w:t>
      </w:r>
      <w:r w:rsidR="00B83545" w:rsidRPr="0093586B">
        <w:rPr>
          <w:rFonts w:ascii="Arial" w:hAnsi="Arial" w:cs="Arial"/>
          <w:color w:val="auto"/>
          <w:spacing w:val="0"/>
          <w:sz w:val="24"/>
          <w:szCs w:val="24"/>
        </w:rPr>
        <w:t>: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ACÓRDÃO Nº 199/2017 - TCU - Plenário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Considerando que o presente processo trata de Acompanhamento com vistas a verificar as publicações dos relatórios de gestão fiscal referentes ao 2º quadrimestre de 2016, o seu encaminhamento ao Tribunal de Contas da União, bem como o cumprimento dos limites fixados pela Lei de Responsabilidade Fiscal, em observância ao art. 54 da referida lei;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Considerando que, após análise dos referidos relatórios de gestão e fiscalização realizada pela Secretaria de Macroavaliação Governamental desta Corte (relatório de fiscalização à peça 46), pode-se concluir que: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a) todos os órgãos cumpriram as exigências de publicação e encaminhamento ao TCU dos Relatórios de Gestão Fiscal do 2º quadrimestre de 2016, em cumprimento aos arts. 54 e 55 da LRF e ao inciso I do art. 5º da Lei 10.028/2000 (Lei de Crimes Fiscais);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b) foram cumpridos os limites prudencial e máximo da despesa com pessoal pelos Poderes e órgãos federais relacionados no art. 20 da Lei Complementar 101/2000, ressalvando-se que foram considerados como limites dos órgãos da Justiça do Trabalho aqueles fixados no Ato Conjunto TST/CSJT 12/2015, cujo mérito encontra-se sob análise no TC 026.476/2015-0;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lastRenderedPageBreak/>
        <w:t>c) apenas o Conselho Nacional de Justiça não disponibilizou o Relatório de Gestão Fiscal relativo ao 2º quadrimestre de 2016 no Siconfi - Sistema de Informações Contábeis e Fiscais do Setor Público Brasileiro, conforme estabelecido no art. 137 da Lei 13.242/2015 – LDO 2016;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d) os níveis de endividamento da União se apresentam compatíveis com os limites das dívidas mobiliária e consolidada líquida, constantes nos Projetos de Lei da Câmara 54/2009 e de Resolução do Senado 84/2007, respectivamente;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e) no entanto, para a dívida mobiliária e para a dívida consolidada líquida, foram ultrapassados os limiares para o alerta a que se refere o inciso III do § 1º do art. 59 da LRF, uma vez que esses parâmetros fiscais alcançaram, respectivamente, 606,87% e 329,49% da receita corrente líquida, índices superiores a 90% dos respectivos limites propostos no art. 2º do Projeto de Lei da Câmara 54/2009 (650%) e no art. 3º do Projeto de Resolução do Senado 84/2007 (350%);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f) foram observados os limites fixados pelo Senado Federal na RSF 48/2007 para o montante de operações de crédito e de garantias concedidas pela União;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g) o Tribunal Regional Eleitoral do Rio de Janeiro (TRE-RJ) comunicou ter concluído o cancelamento dos lançamentos indevidos determinado pelo Tribunal por meio do item 9.5. do Acórdão 2.118/2016-TCU-Plenário.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Os Ministros do Tribunal de Contas da União, reunidos em sessão de Plenário, ACORDAM, por unanimidade, com fundamento no art. 43, inciso I, da Lei 8.443/1992, c/c os arts. 169, V, e 250, II, do Regimento Interno, em proferir as considerações e determinação a seguir e arquivar o processo, de acordo com os pareceres emitidos nos autos: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 Processo TC-023.916/2016-8 (RELATÓRIO DE ACOMPANHAMENTO)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1.1. Órgão/Entidade: Câmara dos Deputados; Conselho da Justiça Federal; Conselho Nacional de Justiça; Justiça do Trabalho (vinculador); Justiça Militar (vinculador); Ministério Público Federal; Presidência da República (vinculador); Senado Federal (vinculador); Superior Tribunal de Justiça; Supremo Tribunal Federal; Tribunal de Contas da União; Tribunal de Justiça do Distrito Federal e dos Territórios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1.2. Relator: Ministro Bruno Dantas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1.3. Representante do Ministério Público: não atuou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1.4. Unidade Técnica: Secretaria de Macroavaliação Governamental (Semag).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1.5. Representação legal: não há.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 Determinações/Recomendações/Orientações: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1.6.1. considerar atendidas as exigências de publicação e encaminhamento ao TCU dos Relatórios de Gestão Fiscal pelos Poderes e órgãos relacionados no art. 20 da Lei Complementar 101/2000 (LRF), correspondentes ao 2º quadrimestre do exercício de 2016, em obediência aos seus arts. 54 e 55, bem como ao inciso I do art. 5º da Lei 10.028/2000;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lastRenderedPageBreak/>
        <w:t>1.6.2. considerar cumpridos, no 2º quadrimestre do exercício de 2016, os limites prudencial e máximo da despesa com pessoal pelos Poderes e órgãos federais relacionados no art. 20 da Lei Complementar 101/2000, ressalvando-se que foram considerados como limites dos órgãos da Justiça do Trabalho aqueles fixados no Ato Conjunto TST/CSJT 12/2015, cujo mérito encontra-se sob análise no TC 026.476/2015-0;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1.6.3. considerar atendida a exigência de disponibilização dos Relatórios de Gestão Fiscal do 2º quadrimestre de 2016 no Sistema de Informações Contábeis e Fiscais do Setor Público Brasileiro por parte dos Poderes e órgãos relacionados no art. 20 da Lei Complementar 101/2000, exceto em relação ao Conselho Nacional de Justiça;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1.6.4. determinar ao Conselho Nacional de Justiça, em virtude do disposto no art. art. 137 da Lei 13.242/2015, que, caso ainda não tenha finalizado o processo de homologação do Relatório de Gestão Fiscal do 2º quadrimestre de 2016, que tome providências para a conclusão do processo e, no prazo de quinze dias da ciência deste acórdão, comunique as providências adotadas a este Tribunal;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1.6.5. considerar o endividamento da União compatível com os limites das dívidas mobiliária e consolidada, propostos pelo Presidente da República e em apreciação pelo Congresso Nacional, mediante os Projetos de Lei da Câmara dos Deputados 54/2009 e de Resolução do Senado Federal 84/2007, respectivamente;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1.6.6. dar ciência ao Poder Executivo Federal de que os montantes da dívida mobiliária e da dívida consolidada líquida ultrapassaram 90% dos limites propostos, respectivamente, no Projeto de Lei da Câmara 54/2009 e no Projeto de Resolução do Senado 84/2007;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1.6.7. considerar atendidos os limites previstos na Resolução do Senado Federal 48/2007, para o montante de operações de crédito e de garantias concedidas pela União;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1.6.8 considerar cumprida a determinação contida no subitem 9.5 do Acórdão 2.118/2016-TCU-Plenário;</w:t>
      </w:r>
    </w:p>
    <w:p w:rsidR="002862C8" w:rsidRP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1.6.9. encaminhar deste acórdão e do relatório de fiscalização à peça 46 à Comissão Mista de Planos, Orçamentos Públicos e Fiscalização do Congresso Nacional;</w:t>
      </w:r>
    </w:p>
    <w:p w:rsidR="002862C8" w:rsidRDefault="002862C8" w:rsidP="002862C8">
      <w:pPr>
        <w:pStyle w:val="TCU-RelVoto-demais"/>
        <w:spacing w:after="120"/>
        <w:ind w:left="1843"/>
        <w:rPr>
          <w:rFonts w:ascii="Arial" w:hAnsi="Arial" w:cs="Arial"/>
          <w:i/>
          <w:sz w:val="22"/>
        </w:rPr>
      </w:pPr>
      <w:r w:rsidRPr="002862C8">
        <w:rPr>
          <w:rFonts w:ascii="Arial" w:hAnsi="Arial" w:cs="Arial"/>
          <w:i/>
          <w:sz w:val="22"/>
        </w:rPr>
        <w:t>1.6.10. arquivar os presentes autos, com fulcro no art. 169, inciso V, do Regimento Interno do TCU.</w:t>
      </w:r>
    </w:p>
    <w:p w:rsidR="009E42EC" w:rsidRDefault="009E42EC" w:rsidP="009E42EC">
      <w:pPr>
        <w:pStyle w:val="TCU-RelVoto-demais"/>
        <w:spacing w:after="240"/>
        <w:ind w:left="1843"/>
        <w:rPr>
          <w:rFonts w:ascii="Arial" w:hAnsi="Arial" w:cs="Arial"/>
          <w:i/>
          <w:sz w:val="22"/>
        </w:rPr>
      </w:pPr>
    </w:p>
    <w:p w:rsidR="00DF6A17" w:rsidRDefault="000803A0" w:rsidP="00AF694B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>
        <w:rPr>
          <w:rFonts w:ascii="Arial" w:hAnsi="Arial" w:cs="Arial"/>
          <w:color w:val="auto"/>
          <w:spacing w:val="0"/>
          <w:sz w:val="24"/>
          <w:szCs w:val="24"/>
        </w:rPr>
        <w:tab/>
      </w:r>
      <w:r w:rsidR="00AF694B" w:rsidRPr="00F5523D">
        <w:rPr>
          <w:rFonts w:ascii="Arial" w:hAnsi="Arial" w:cs="Arial"/>
          <w:color w:val="auto"/>
          <w:spacing w:val="0"/>
          <w:sz w:val="24"/>
          <w:szCs w:val="24"/>
        </w:rPr>
        <w:t>Fui d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esignado relator da matéria pelo nobre Presidente</w:t>
      </w:r>
      <w:r w:rsidR="00AF694B" w:rsidRPr="00F5523D">
        <w:rPr>
          <w:rFonts w:ascii="Arial" w:hAnsi="Arial" w:cs="Arial"/>
          <w:color w:val="auto"/>
          <w:spacing w:val="0"/>
          <w:sz w:val="24"/>
          <w:szCs w:val="24"/>
        </w:rPr>
        <w:t xml:space="preserve"> desta Comissão </w:t>
      </w:r>
      <w:r w:rsidR="009E42EC">
        <w:rPr>
          <w:rFonts w:ascii="Arial" w:hAnsi="Arial" w:cs="Arial"/>
          <w:color w:val="auto"/>
          <w:spacing w:val="0"/>
          <w:sz w:val="24"/>
          <w:szCs w:val="24"/>
        </w:rPr>
        <w:t>em</w:t>
      </w:r>
      <w:r w:rsidR="00AF694B" w:rsidRPr="00F5523D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12</w:t>
      </w:r>
      <w:r w:rsidR="00120776" w:rsidRPr="00F5523D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AF694B" w:rsidRPr="00F5523D">
        <w:rPr>
          <w:rFonts w:ascii="Arial" w:hAnsi="Arial" w:cs="Arial"/>
          <w:color w:val="auto"/>
          <w:spacing w:val="0"/>
          <w:sz w:val="24"/>
          <w:szCs w:val="24"/>
        </w:rPr>
        <w:t xml:space="preserve">de 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setembro</w:t>
      </w:r>
      <w:r w:rsidR="00120776" w:rsidRPr="00F5523D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de 2017</w:t>
      </w:r>
      <w:r w:rsidR="00AF694B" w:rsidRPr="00F5523D">
        <w:rPr>
          <w:rFonts w:ascii="Arial" w:hAnsi="Arial" w:cs="Arial"/>
          <w:color w:val="auto"/>
          <w:spacing w:val="0"/>
          <w:sz w:val="24"/>
          <w:szCs w:val="24"/>
        </w:rPr>
        <w:t>.</w:t>
      </w:r>
    </w:p>
    <w:p w:rsidR="00DF6A17" w:rsidRPr="00F5523D" w:rsidRDefault="00DF6A17" w:rsidP="00AF694B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>
        <w:rPr>
          <w:rFonts w:ascii="Arial" w:hAnsi="Arial" w:cs="Arial"/>
          <w:color w:val="auto"/>
          <w:spacing w:val="0"/>
          <w:sz w:val="24"/>
          <w:szCs w:val="24"/>
        </w:rPr>
        <w:tab/>
        <w:t>É o relatório.</w:t>
      </w:r>
    </w:p>
    <w:p w:rsidR="00964D10" w:rsidRPr="00805F65" w:rsidRDefault="00964D10" w:rsidP="00805F65">
      <w:pPr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240" w:line="360" w:lineRule="auto"/>
        <w:ind w:hanging="1500"/>
        <w:rPr>
          <w:rFonts w:ascii="Arial" w:hAnsi="Arial" w:cs="Arial"/>
          <w:b/>
          <w:bCs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b/>
          <w:bCs/>
          <w:color w:val="auto"/>
          <w:spacing w:val="0"/>
          <w:sz w:val="24"/>
          <w:szCs w:val="24"/>
        </w:rPr>
        <w:t>VOTO</w:t>
      </w:r>
    </w:p>
    <w:p w:rsidR="0093382D" w:rsidRPr="00805F65" w:rsidRDefault="00C61CA7" w:rsidP="00805F65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ab/>
      </w:r>
      <w:r w:rsidR="0093382D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O Relatório de Gestão Fiscal, instituído pelo art. 54 da LRF, deve ser elaborado e publicado a cada quadrimestre pelos titulares dos Poderes e 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ó</w:t>
      </w:r>
      <w:r w:rsidR="0093382D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rgãos da 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lastRenderedPageBreak/>
        <w:t>a</w:t>
      </w:r>
      <w:r w:rsidR="0093382D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dministração 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p</w:t>
      </w:r>
      <w:r w:rsidR="0093382D" w:rsidRPr="00805F65">
        <w:rPr>
          <w:rFonts w:ascii="Arial" w:hAnsi="Arial" w:cs="Arial"/>
          <w:color w:val="auto"/>
          <w:spacing w:val="0"/>
          <w:sz w:val="24"/>
          <w:szCs w:val="24"/>
        </w:rPr>
        <w:t>ública. Constitui-se em documento fundamental para a transparência das contas públicas, na medida em que permite ao Congresso Nacional, aos órgãos de fiscalização e a toda a sociedade o acompanhamento do cumprimento, pelos gestores públicos, dos limites legais de despesas com pessoal, operação de crédito e concessão de garantia, entre outras.</w:t>
      </w:r>
    </w:p>
    <w:p w:rsidR="0093382D" w:rsidRPr="00805F65" w:rsidRDefault="0093382D" w:rsidP="00805F65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ab/>
        <w:t>No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caso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em apreciação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relativo</w:t>
      </w:r>
      <w:r w:rsidR="00E8234A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ao </w:t>
      </w:r>
      <w:r w:rsidR="002862C8">
        <w:rPr>
          <w:rFonts w:ascii="Arial" w:hAnsi="Arial" w:cs="Arial"/>
          <w:b/>
          <w:color w:val="auto"/>
          <w:spacing w:val="0"/>
          <w:sz w:val="24"/>
          <w:szCs w:val="24"/>
        </w:rPr>
        <w:t>2</w:t>
      </w:r>
      <w:r w:rsidR="00FE7F00">
        <w:rPr>
          <w:rFonts w:ascii="Arial" w:hAnsi="Arial" w:cs="Arial"/>
          <w:b/>
          <w:color w:val="auto"/>
          <w:spacing w:val="0"/>
          <w:sz w:val="24"/>
          <w:szCs w:val="24"/>
        </w:rPr>
        <w:t>º</w:t>
      </w:r>
      <w:r w:rsidR="00FE7F00" w:rsidRPr="008B327A">
        <w:rPr>
          <w:rFonts w:ascii="Arial" w:hAnsi="Arial" w:cs="Arial"/>
          <w:b/>
          <w:color w:val="auto"/>
          <w:spacing w:val="0"/>
          <w:sz w:val="24"/>
          <w:szCs w:val="24"/>
        </w:rPr>
        <w:t xml:space="preserve"> </w:t>
      </w:r>
      <w:r w:rsidR="00744C07" w:rsidRPr="008B327A">
        <w:rPr>
          <w:rFonts w:ascii="Arial" w:hAnsi="Arial" w:cs="Arial"/>
          <w:b/>
          <w:color w:val="auto"/>
          <w:spacing w:val="0"/>
          <w:sz w:val="24"/>
          <w:szCs w:val="24"/>
        </w:rPr>
        <w:t>Quadrimestre de 201</w:t>
      </w:r>
      <w:r w:rsidR="009B2647">
        <w:rPr>
          <w:rFonts w:ascii="Arial" w:hAnsi="Arial" w:cs="Arial"/>
          <w:b/>
          <w:color w:val="auto"/>
          <w:spacing w:val="0"/>
          <w:sz w:val="24"/>
          <w:szCs w:val="24"/>
        </w:rPr>
        <w:t>6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>, a análise procedida pelo T</w:t>
      </w:r>
      <w:r w:rsidR="00116E07">
        <w:rPr>
          <w:rFonts w:ascii="Arial" w:hAnsi="Arial" w:cs="Arial"/>
          <w:color w:val="auto"/>
          <w:spacing w:val="0"/>
          <w:sz w:val="24"/>
          <w:szCs w:val="24"/>
        </w:rPr>
        <w:t>CU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culminou no 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Acórdão 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199</w:t>
      </w:r>
      <w:r w:rsidR="00B3415E" w:rsidRPr="002F1EC6">
        <w:rPr>
          <w:rFonts w:ascii="Arial" w:hAnsi="Arial" w:cs="Arial"/>
          <w:color w:val="auto"/>
          <w:spacing w:val="0"/>
          <w:sz w:val="24"/>
          <w:szCs w:val="24"/>
        </w:rPr>
        <w:t>/</w:t>
      </w:r>
      <w:r w:rsidR="00FE7F00" w:rsidRPr="002F1EC6">
        <w:rPr>
          <w:rFonts w:ascii="Arial" w:hAnsi="Arial" w:cs="Arial"/>
          <w:color w:val="auto"/>
          <w:spacing w:val="0"/>
          <w:sz w:val="24"/>
          <w:szCs w:val="24"/>
        </w:rPr>
        <w:t>201</w:t>
      </w:r>
      <w:r w:rsidR="002862C8">
        <w:rPr>
          <w:rFonts w:ascii="Arial" w:hAnsi="Arial" w:cs="Arial"/>
          <w:color w:val="auto"/>
          <w:spacing w:val="0"/>
          <w:sz w:val="24"/>
          <w:szCs w:val="24"/>
        </w:rPr>
        <w:t>7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, 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>aprovado pelo Plenário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daquela Corte</w:t>
      </w:r>
      <w:r w:rsidR="008B327A">
        <w:rPr>
          <w:rFonts w:ascii="Arial" w:hAnsi="Arial" w:cs="Arial"/>
          <w:color w:val="auto"/>
          <w:spacing w:val="0"/>
          <w:sz w:val="24"/>
          <w:szCs w:val="24"/>
        </w:rPr>
        <w:t xml:space="preserve"> de Contas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>, que consider</w:t>
      </w:r>
      <w:r w:rsidR="00B3415E">
        <w:rPr>
          <w:rFonts w:ascii="Arial" w:hAnsi="Arial" w:cs="Arial"/>
          <w:color w:val="auto"/>
          <w:spacing w:val="0"/>
          <w:sz w:val="24"/>
          <w:szCs w:val="24"/>
        </w:rPr>
        <w:t xml:space="preserve">ou 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>atendidas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>, de maneira geral,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as exigências da LRF.</w:t>
      </w:r>
    </w:p>
    <w:p w:rsidR="0093382D" w:rsidRPr="00805F65" w:rsidRDefault="0093382D" w:rsidP="00805F65">
      <w:pPr>
        <w:tabs>
          <w:tab w:val="left" w:pos="1134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auto"/>
          <w:spacing w:val="0"/>
          <w:sz w:val="24"/>
          <w:szCs w:val="24"/>
        </w:rPr>
      </w:pPr>
      <w:r w:rsidRPr="00805F65">
        <w:rPr>
          <w:rFonts w:ascii="Arial" w:hAnsi="Arial" w:cs="Arial"/>
          <w:color w:val="auto"/>
          <w:spacing w:val="0"/>
          <w:sz w:val="24"/>
          <w:szCs w:val="24"/>
        </w:rPr>
        <w:tab/>
        <w:t xml:space="preserve">Assim, com base nessa conclusão, e </w:t>
      </w:r>
      <w:r w:rsidR="008B327A">
        <w:rPr>
          <w:rFonts w:ascii="Arial" w:hAnsi="Arial" w:cs="Arial"/>
          <w:color w:val="auto"/>
          <w:spacing w:val="0"/>
          <w:sz w:val="24"/>
          <w:szCs w:val="24"/>
        </w:rPr>
        <w:t xml:space="preserve">considerando que </w:t>
      </w:r>
      <w:r w:rsidR="008B327A" w:rsidRPr="00805F65">
        <w:rPr>
          <w:rFonts w:ascii="Arial" w:hAnsi="Arial" w:cs="Arial"/>
          <w:sz w:val="24"/>
          <w:szCs w:val="24"/>
        </w:rPr>
        <w:t xml:space="preserve">o TCU </w:t>
      </w:r>
      <w:r w:rsidR="008B327A">
        <w:rPr>
          <w:rFonts w:ascii="Arial" w:hAnsi="Arial" w:cs="Arial"/>
          <w:sz w:val="24"/>
          <w:szCs w:val="24"/>
        </w:rPr>
        <w:t xml:space="preserve">já </w:t>
      </w:r>
      <w:r w:rsidR="008B327A" w:rsidRPr="00805F65">
        <w:rPr>
          <w:rFonts w:ascii="Arial" w:hAnsi="Arial" w:cs="Arial"/>
          <w:sz w:val="24"/>
          <w:szCs w:val="24"/>
        </w:rPr>
        <w:t xml:space="preserve">adotou </w:t>
      </w:r>
      <w:r w:rsidR="008B327A">
        <w:rPr>
          <w:rFonts w:ascii="Arial" w:hAnsi="Arial" w:cs="Arial"/>
          <w:sz w:val="24"/>
          <w:szCs w:val="24"/>
        </w:rPr>
        <w:t xml:space="preserve">as </w:t>
      </w:r>
      <w:r w:rsidR="008B327A" w:rsidRPr="00805F65">
        <w:rPr>
          <w:rFonts w:ascii="Arial" w:hAnsi="Arial" w:cs="Arial"/>
          <w:sz w:val="24"/>
          <w:szCs w:val="24"/>
        </w:rPr>
        <w:t>medida</w:t>
      </w:r>
      <w:r w:rsidR="008B327A">
        <w:rPr>
          <w:rFonts w:ascii="Arial" w:hAnsi="Arial" w:cs="Arial"/>
          <w:sz w:val="24"/>
          <w:szCs w:val="24"/>
        </w:rPr>
        <w:t>s</w:t>
      </w:r>
      <w:r w:rsidR="008B327A" w:rsidRPr="00805F65">
        <w:rPr>
          <w:rFonts w:ascii="Arial" w:hAnsi="Arial" w:cs="Arial"/>
          <w:sz w:val="24"/>
          <w:szCs w:val="24"/>
        </w:rPr>
        <w:t xml:space="preserve"> específica</w:t>
      </w:r>
      <w:r w:rsidR="008B327A">
        <w:rPr>
          <w:rFonts w:ascii="Arial" w:hAnsi="Arial" w:cs="Arial"/>
          <w:sz w:val="24"/>
          <w:szCs w:val="24"/>
        </w:rPr>
        <w:t>s</w:t>
      </w:r>
      <w:r w:rsidR="00F1693F">
        <w:rPr>
          <w:rFonts w:ascii="Arial" w:hAnsi="Arial" w:cs="Arial"/>
          <w:sz w:val="24"/>
          <w:szCs w:val="24"/>
        </w:rPr>
        <w:t xml:space="preserve"> necessárias para eventuais correções</w:t>
      </w:r>
      <w:r w:rsidR="008B327A" w:rsidRPr="00805F65">
        <w:rPr>
          <w:rFonts w:ascii="Arial" w:hAnsi="Arial" w:cs="Arial"/>
          <w:sz w:val="24"/>
          <w:szCs w:val="24"/>
        </w:rPr>
        <w:t>, na forma de ciência e determinaç</w:t>
      </w:r>
      <w:r w:rsidR="008B327A">
        <w:rPr>
          <w:rFonts w:ascii="Arial" w:hAnsi="Arial" w:cs="Arial"/>
          <w:sz w:val="24"/>
          <w:szCs w:val="24"/>
        </w:rPr>
        <w:t>ões</w:t>
      </w:r>
      <w:r w:rsidR="008B327A" w:rsidRPr="00805F65">
        <w:rPr>
          <w:rFonts w:ascii="Arial" w:hAnsi="Arial" w:cs="Arial"/>
          <w:sz w:val="24"/>
          <w:szCs w:val="24"/>
        </w:rPr>
        <w:t xml:space="preserve"> aos órgãos responsáveis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>,</w:t>
      </w:r>
      <w:r w:rsidR="00116E07">
        <w:rPr>
          <w:rFonts w:ascii="Arial" w:hAnsi="Arial" w:cs="Arial"/>
          <w:color w:val="auto"/>
          <w:spacing w:val="0"/>
          <w:sz w:val="24"/>
          <w:szCs w:val="24"/>
        </w:rPr>
        <w:t xml:space="preserve"> nos termos do acórdão prolatado,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</w:t>
      </w:r>
      <w:r w:rsidRPr="008B327A">
        <w:rPr>
          <w:rFonts w:ascii="Arial" w:hAnsi="Arial" w:cs="Arial"/>
          <w:b/>
          <w:color w:val="auto"/>
          <w:spacing w:val="0"/>
          <w:sz w:val="24"/>
          <w:szCs w:val="24"/>
        </w:rPr>
        <w:t>VOTO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no sentido de que esta Comissão tome conhecimento do conteúdo do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Relatório</w:t>
      </w:r>
      <w:r w:rsidR="00744C07" w:rsidRPr="00805F65">
        <w:rPr>
          <w:rFonts w:ascii="Arial" w:hAnsi="Arial" w:cs="Arial"/>
          <w:color w:val="auto"/>
          <w:spacing w:val="0"/>
          <w:sz w:val="24"/>
          <w:szCs w:val="24"/>
        </w:rPr>
        <w:t>s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de Gestão Fiscal </w:t>
      </w:r>
      <w:r w:rsidR="00AF150F">
        <w:rPr>
          <w:rFonts w:ascii="Arial" w:hAnsi="Arial" w:cs="Arial"/>
          <w:color w:val="auto"/>
          <w:spacing w:val="0"/>
          <w:sz w:val="24"/>
          <w:szCs w:val="24"/>
        </w:rPr>
        <w:t xml:space="preserve">ora </w:t>
      </w:r>
      <w:r w:rsidR="008B327A">
        <w:rPr>
          <w:rFonts w:ascii="Arial" w:hAnsi="Arial" w:cs="Arial"/>
          <w:color w:val="auto"/>
          <w:spacing w:val="0"/>
          <w:sz w:val="24"/>
          <w:szCs w:val="24"/>
        </w:rPr>
        <w:t>sob apreciação</w:t>
      </w:r>
      <w:r w:rsidRPr="00805F65">
        <w:rPr>
          <w:rFonts w:ascii="Arial" w:hAnsi="Arial" w:cs="Arial"/>
          <w:color w:val="auto"/>
          <w:spacing w:val="0"/>
          <w:sz w:val="24"/>
          <w:szCs w:val="24"/>
        </w:rPr>
        <w:t xml:space="preserve"> e demais documentos que compõem o processo e determine o seu arquivamento.</w:t>
      </w:r>
    </w:p>
    <w:p w:rsidR="00964D10" w:rsidRPr="00805F65" w:rsidRDefault="00964D10" w:rsidP="00805F6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05F65">
        <w:rPr>
          <w:rFonts w:ascii="Arial" w:hAnsi="Arial" w:cs="Arial"/>
          <w:sz w:val="24"/>
          <w:szCs w:val="24"/>
        </w:rPr>
        <w:t>Sala da Comissão, em        de                    de 201</w:t>
      </w:r>
      <w:r w:rsidR="002862C8">
        <w:rPr>
          <w:rFonts w:ascii="Arial" w:hAnsi="Arial" w:cs="Arial"/>
          <w:sz w:val="24"/>
          <w:szCs w:val="24"/>
        </w:rPr>
        <w:t>7</w:t>
      </w:r>
      <w:r w:rsidRPr="00805F65">
        <w:rPr>
          <w:rFonts w:ascii="Arial" w:hAnsi="Arial" w:cs="Arial"/>
          <w:sz w:val="24"/>
          <w:szCs w:val="24"/>
        </w:rPr>
        <w:t>.</w:t>
      </w:r>
    </w:p>
    <w:p w:rsidR="00DD77B3" w:rsidRDefault="00DD77B3" w:rsidP="00805F65">
      <w:pPr>
        <w:pStyle w:val="Ttulo4"/>
        <w:spacing w:after="240" w:line="360" w:lineRule="auto"/>
        <w:rPr>
          <w:rFonts w:ascii="Arial" w:hAnsi="Arial" w:cs="Arial"/>
          <w:szCs w:val="24"/>
        </w:rPr>
      </w:pPr>
    </w:p>
    <w:p w:rsidR="00964D10" w:rsidRPr="00F907B3" w:rsidRDefault="00964D10" w:rsidP="00AF150F">
      <w:pPr>
        <w:pStyle w:val="Ttulo4"/>
        <w:spacing w:after="120"/>
        <w:rPr>
          <w:rFonts w:ascii="Arial" w:hAnsi="Arial" w:cs="Arial"/>
          <w:szCs w:val="24"/>
        </w:rPr>
      </w:pPr>
      <w:r w:rsidRPr="00F907B3">
        <w:rPr>
          <w:rFonts w:ascii="Arial" w:hAnsi="Arial" w:cs="Arial"/>
          <w:szCs w:val="24"/>
        </w:rPr>
        <w:t xml:space="preserve">DEPUTADO </w:t>
      </w:r>
      <w:r w:rsidR="00C0709F">
        <w:rPr>
          <w:rFonts w:ascii="Arial" w:hAnsi="Arial" w:cs="Arial"/>
          <w:szCs w:val="24"/>
        </w:rPr>
        <w:t>EDMAR</w:t>
      </w:r>
      <w:r w:rsidR="009E42EC">
        <w:rPr>
          <w:rFonts w:ascii="Arial" w:hAnsi="Arial" w:cs="Arial"/>
          <w:szCs w:val="24"/>
        </w:rPr>
        <w:t xml:space="preserve"> </w:t>
      </w:r>
      <w:r w:rsidR="00C0709F">
        <w:rPr>
          <w:rFonts w:ascii="Arial" w:hAnsi="Arial" w:cs="Arial"/>
          <w:szCs w:val="24"/>
        </w:rPr>
        <w:t>ARRUDA</w:t>
      </w:r>
    </w:p>
    <w:p w:rsidR="00964D10" w:rsidRPr="00F907B3" w:rsidRDefault="00964D10" w:rsidP="00AF150F">
      <w:pPr>
        <w:spacing w:after="120"/>
        <w:jc w:val="center"/>
        <w:rPr>
          <w:rFonts w:ascii="Arial" w:hAnsi="Arial" w:cs="Arial"/>
          <w:sz w:val="24"/>
          <w:szCs w:val="24"/>
        </w:rPr>
      </w:pPr>
      <w:r w:rsidRPr="00F907B3">
        <w:rPr>
          <w:rFonts w:ascii="Arial" w:hAnsi="Arial" w:cs="Arial"/>
          <w:sz w:val="24"/>
          <w:szCs w:val="24"/>
        </w:rPr>
        <w:t>Relator</w:t>
      </w:r>
    </w:p>
    <w:sectPr w:rsidR="00964D10" w:rsidRPr="00F907B3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284" w:footer="86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C3B" w:rsidRDefault="004E2C3B">
      <w:r>
        <w:separator/>
      </w:r>
    </w:p>
  </w:endnote>
  <w:endnote w:type="continuationSeparator" w:id="0">
    <w:p w:rsidR="004E2C3B" w:rsidRDefault="004E2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D10" w:rsidRDefault="00964D1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64D10" w:rsidRDefault="00964D1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D10" w:rsidRPr="00FE7804" w:rsidRDefault="00964D10">
    <w:pPr>
      <w:pStyle w:val="Rodap"/>
      <w:ind w:right="360"/>
      <w:jc w:val="right"/>
      <w:rPr>
        <w:rStyle w:val="Nmerodepgina"/>
        <w:rFonts w:ascii="Arial" w:hAnsi="Arial" w:cs="Arial"/>
        <w:sz w:val="20"/>
      </w:rPr>
    </w:pPr>
    <w:r w:rsidRPr="00FE7804">
      <w:rPr>
        <w:rStyle w:val="Nmerodepgina"/>
        <w:rFonts w:ascii="Arial" w:hAnsi="Arial" w:cs="Arial"/>
        <w:sz w:val="20"/>
      </w:rPr>
      <w:fldChar w:fldCharType="begin"/>
    </w:r>
    <w:r w:rsidRPr="00FE7804">
      <w:rPr>
        <w:rStyle w:val="Nmerodepgina"/>
        <w:rFonts w:ascii="Arial" w:hAnsi="Arial" w:cs="Arial"/>
        <w:sz w:val="20"/>
      </w:rPr>
      <w:instrText xml:space="preserve"> PAGE </w:instrText>
    </w:r>
    <w:r w:rsidRPr="00FE7804">
      <w:rPr>
        <w:rStyle w:val="Nmerodepgina"/>
        <w:rFonts w:ascii="Arial" w:hAnsi="Arial" w:cs="Arial"/>
        <w:sz w:val="20"/>
      </w:rPr>
      <w:fldChar w:fldCharType="separate"/>
    </w:r>
    <w:r w:rsidR="00FB75BC">
      <w:rPr>
        <w:rStyle w:val="Nmerodepgina"/>
        <w:rFonts w:ascii="Arial" w:hAnsi="Arial" w:cs="Arial"/>
        <w:noProof/>
        <w:sz w:val="20"/>
      </w:rPr>
      <w:t>1</w:t>
    </w:r>
    <w:r w:rsidRPr="00FE7804">
      <w:rPr>
        <w:rStyle w:val="Nmerodepgina"/>
        <w:rFonts w:ascii="Arial" w:hAnsi="Arial" w:cs="Arial"/>
        <w:sz w:val="20"/>
      </w:rPr>
      <w:fldChar w:fldCharType="end"/>
    </w:r>
    <w:r w:rsidR="00F1693F">
      <w:rPr>
        <w:rStyle w:val="Nmerodepgina"/>
        <w:rFonts w:ascii="Arial" w:hAnsi="Arial" w:cs="Arial"/>
        <w:sz w:val="20"/>
      </w:rPr>
      <w:t>/</w:t>
    </w:r>
    <w:r w:rsidR="008B33DD">
      <w:rPr>
        <w:rStyle w:val="Nmerodepgina"/>
        <w:rFonts w:ascii="Arial" w:hAnsi="Arial" w:cs="Arial"/>
        <w:sz w:val="20"/>
      </w:rPr>
      <w:fldChar w:fldCharType="begin"/>
    </w:r>
    <w:r w:rsidR="008B33DD">
      <w:rPr>
        <w:rStyle w:val="Nmerodepgina"/>
        <w:rFonts w:ascii="Arial" w:hAnsi="Arial" w:cs="Arial"/>
        <w:sz w:val="20"/>
      </w:rPr>
      <w:instrText xml:space="preserve"> NUMPAGES   \* MERGEFORMAT </w:instrText>
    </w:r>
    <w:r w:rsidR="008B33DD">
      <w:rPr>
        <w:rStyle w:val="Nmerodepgina"/>
        <w:rFonts w:ascii="Arial" w:hAnsi="Arial" w:cs="Arial"/>
        <w:sz w:val="20"/>
      </w:rPr>
      <w:fldChar w:fldCharType="separate"/>
    </w:r>
    <w:r w:rsidR="00FB75BC">
      <w:rPr>
        <w:rStyle w:val="Nmerodepgina"/>
        <w:rFonts w:ascii="Arial" w:hAnsi="Arial" w:cs="Arial"/>
        <w:noProof/>
        <w:sz w:val="20"/>
      </w:rPr>
      <w:t>5</w:t>
    </w:r>
    <w:r w:rsidR="008B33DD">
      <w:rPr>
        <w:rStyle w:val="Nmerodepgina"/>
        <w:rFonts w:ascii="Arial" w:hAnsi="Arial" w:cs="Arial"/>
        <w:sz w:val="20"/>
      </w:rPr>
      <w:fldChar w:fldCharType="end"/>
    </w:r>
    <w:r w:rsidRPr="00FE7804">
      <w:rPr>
        <w:rStyle w:val="Nmerodepgina"/>
        <w:rFonts w:ascii="Arial" w:hAnsi="Arial" w:cs="Arial"/>
        <w:sz w:val="20"/>
      </w:rPr>
      <w:tab/>
    </w:r>
  </w:p>
  <w:p w:rsidR="00964D10" w:rsidRDefault="00964D10">
    <w:pPr>
      <w:pStyle w:val="Rodap"/>
      <w:ind w:right="36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C3B" w:rsidRDefault="004E2C3B">
      <w:r>
        <w:separator/>
      </w:r>
    </w:p>
  </w:footnote>
  <w:footnote w:type="continuationSeparator" w:id="0">
    <w:p w:rsidR="004E2C3B" w:rsidRDefault="004E2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D10" w:rsidRDefault="00FB75BC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1116965</wp:posOffset>
              </wp:positionH>
              <wp:positionV relativeFrom="paragraph">
                <wp:posOffset>93980</wp:posOffset>
              </wp:positionV>
              <wp:extent cx="4422775" cy="6915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2775" cy="691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4D10" w:rsidRDefault="00964D10" w:rsidP="00FE2814">
                          <w:pPr>
                            <w:pStyle w:val="Cabealho"/>
                            <w:spacing w:after="1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CONGRESSO NACIONAL</w:t>
                          </w:r>
                        </w:p>
                        <w:p w:rsidR="00964D10" w:rsidRPr="00FE2814" w:rsidRDefault="00964D10">
                          <w:pPr>
                            <w:pStyle w:val="Cabealho"/>
                            <w:rPr>
                              <w:sz w:val="18"/>
                            </w:rPr>
                          </w:pPr>
                          <w:r w:rsidRPr="00FE2814">
                            <w:rPr>
                              <w:rFonts w:ascii="Arial" w:hAnsi="Arial"/>
                              <w:sz w:val="18"/>
                            </w:rPr>
                            <w:t>COMISSÃO MISTA DE PLANOS, ORÇAMENTOS PÚBLICOS E FISCALIZAÇÃO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87.95pt;margin-top:7.4pt;width:348.25pt;height:5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" o:allowincell="f" stroked="f">
              <v:textbox>
                <w:txbxContent>
                  <w:p w:rsidR="00964D10" w:rsidRDefault="00964D10" w:rsidP="00FE2814">
                    <w:pPr>
                      <w:pStyle w:val="Cabealho"/>
                      <w:spacing w:after="1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CONGRESSO NACIONAL</w:t>
                    </w:r>
                  </w:p>
                  <w:p w:rsidR="00964D10" w:rsidRPr="00FE2814" w:rsidRDefault="00964D10">
                    <w:pPr>
                      <w:pStyle w:val="Cabealho"/>
                      <w:rPr>
                        <w:sz w:val="18"/>
                      </w:rPr>
                    </w:pPr>
                    <w:r w:rsidRPr="00FE2814">
                      <w:rPr>
                        <w:rFonts w:ascii="Arial" w:hAnsi="Arial"/>
                        <w:sz w:val="18"/>
                      </w:rPr>
                      <w:t>COMISSÃO MISTA DE PLANOS, ORÇAMENTOS PÚBLICOS E FISCALIZAÇÃO</w:t>
                    </w:r>
                  </w:p>
                </w:txbxContent>
              </v:textbox>
            </v:shape>
          </w:pict>
        </mc:Fallback>
      </mc:AlternateContent>
    </w:r>
    <w:r w:rsidR="00FE281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4.7pt;margin-top:-2.95pt;width:59.75pt;height:64.8pt;z-index:251658240;visibility:visible;mso-wrap-edited:f;mso-position-horizontal-relative:text;mso-position-vertical-relative:text" o:allowincell="f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05C"/>
    <w:multiLevelType w:val="singleLevel"/>
    <w:tmpl w:val="AD868838"/>
    <w:lvl w:ilvl="0">
      <w:start w:val="1"/>
      <w:numFmt w:val="lowerLetter"/>
      <w:lvlText w:val="%1)"/>
      <w:lvlJc w:val="left"/>
      <w:pPr>
        <w:tabs>
          <w:tab w:val="num" w:pos="1883"/>
        </w:tabs>
        <w:ind w:left="1883" w:hanging="465"/>
      </w:pPr>
      <w:rPr>
        <w:rFonts w:hint="default"/>
      </w:rPr>
    </w:lvl>
  </w:abstractNum>
  <w:abstractNum w:abstractNumId="1">
    <w:nsid w:val="05122A4A"/>
    <w:multiLevelType w:val="singleLevel"/>
    <w:tmpl w:val="1BDE5A04"/>
    <w:lvl w:ilvl="0">
      <w:start w:val="1"/>
      <w:numFmt w:val="decimal"/>
      <w:lvlText w:val="%1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>
    <w:nsid w:val="0D040F18"/>
    <w:multiLevelType w:val="multilevel"/>
    <w:tmpl w:val="8B1072B8"/>
    <w:lvl w:ilvl="0">
      <w:start w:val="1"/>
      <w:numFmt w:val="lowerLetter"/>
      <w:lvlText w:val="%1)"/>
      <w:lvlJc w:val="left"/>
      <w:pPr>
        <w:tabs>
          <w:tab w:val="num" w:pos="2061"/>
        </w:tabs>
        <w:ind w:left="2058" w:hanging="357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2418"/>
        </w:tabs>
        <w:ind w:left="2415" w:hanging="35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tabs>
          <w:tab w:val="num" w:pos="2143"/>
        </w:tabs>
        <w:ind w:left="1769" w:hanging="34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0DCC6E84"/>
    <w:multiLevelType w:val="singleLevel"/>
    <w:tmpl w:val="2C788078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4">
    <w:nsid w:val="0E7428CD"/>
    <w:multiLevelType w:val="singleLevel"/>
    <w:tmpl w:val="F0441CA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7E856A0"/>
    <w:multiLevelType w:val="singleLevel"/>
    <w:tmpl w:val="E9EC9F26"/>
    <w:lvl w:ilvl="0">
      <w:start w:val="1"/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Times New Roman" w:hAnsi="Times New Roman" w:hint="default"/>
      </w:rPr>
    </w:lvl>
  </w:abstractNum>
  <w:abstractNum w:abstractNumId="6">
    <w:nsid w:val="19057D88"/>
    <w:multiLevelType w:val="singleLevel"/>
    <w:tmpl w:val="3F84FA74"/>
    <w:lvl w:ilvl="0">
      <w:start w:val="1"/>
      <w:numFmt w:val="lowerLetter"/>
      <w:lvlText w:val="%1)"/>
      <w:lvlJc w:val="left"/>
      <w:pPr>
        <w:tabs>
          <w:tab w:val="num" w:pos="1069"/>
        </w:tabs>
        <w:ind w:left="1066" w:hanging="357"/>
      </w:pPr>
      <w:rPr>
        <w:rFonts w:hint="default"/>
      </w:rPr>
    </w:lvl>
  </w:abstractNum>
  <w:abstractNum w:abstractNumId="7">
    <w:nsid w:val="1AA54F92"/>
    <w:multiLevelType w:val="singleLevel"/>
    <w:tmpl w:val="CEB698D8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8">
    <w:nsid w:val="1B5D6E65"/>
    <w:multiLevelType w:val="hybridMultilevel"/>
    <w:tmpl w:val="E416D4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943DA8"/>
    <w:multiLevelType w:val="multilevel"/>
    <w:tmpl w:val="493C152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0504E97"/>
    <w:multiLevelType w:val="multilevel"/>
    <w:tmpl w:val="C9C64268"/>
    <w:lvl w:ilvl="0">
      <w:start w:val="1"/>
      <w:numFmt w:val="lowerLetter"/>
      <w:lvlText w:val="%1)"/>
      <w:lvlJc w:val="left"/>
      <w:pPr>
        <w:tabs>
          <w:tab w:val="num" w:pos="2061"/>
        </w:tabs>
        <w:ind w:left="2058" w:hanging="357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2418"/>
        </w:tabs>
        <w:ind w:left="2415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20727C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5531D48"/>
    <w:multiLevelType w:val="singleLevel"/>
    <w:tmpl w:val="002E5A7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6707B5"/>
    <w:multiLevelType w:val="hybridMultilevel"/>
    <w:tmpl w:val="BA4C9F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2C3B89"/>
    <w:multiLevelType w:val="singleLevel"/>
    <w:tmpl w:val="F73C7676"/>
    <w:lvl w:ilvl="0">
      <w:start w:val="1"/>
      <w:numFmt w:val="lowerLetter"/>
      <w:lvlText w:val="%1)"/>
      <w:lvlJc w:val="left"/>
      <w:pPr>
        <w:tabs>
          <w:tab w:val="num" w:pos="1094"/>
        </w:tabs>
        <w:ind w:left="1094" w:hanging="385"/>
      </w:pPr>
      <w:rPr>
        <w:rFonts w:hint="default"/>
      </w:rPr>
    </w:lvl>
  </w:abstractNum>
  <w:abstractNum w:abstractNumId="15">
    <w:nsid w:val="2D9A1B49"/>
    <w:multiLevelType w:val="multilevel"/>
    <w:tmpl w:val="65144584"/>
    <w:lvl w:ilvl="0">
      <w:start w:val="1"/>
      <w:numFmt w:val="lowerLetter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>
    <w:nsid w:val="2F006190"/>
    <w:multiLevelType w:val="multilevel"/>
    <w:tmpl w:val="10062574"/>
    <w:lvl w:ilvl="0">
      <w:start w:val="1"/>
      <w:numFmt w:val="lowerLetter"/>
      <w:lvlText w:val="%1)"/>
      <w:lvlJc w:val="left"/>
      <w:pPr>
        <w:tabs>
          <w:tab w:val="num" w:pos="1094"/>
        </w:tabs>
        <w:ind w:left="1094" w:hanging="38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588"/>
        </w:tabs>
        <w:ind w:left="1588" w:hanging="4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7">
    <w:nsid w:val="35BB7B22"/>
    <w:multiLevelType w:val="singleLevel"/>
    <w:tmpl w:val="9E2A3AEE"/>
    <w:lvl w:ilvl="0">
      <w:start w:val="1"/>
      <w:numFmt w:val="lowerLetter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9122DBB"/>
    <w:multiLevelType w:val="multilevel"/>
    <w:tmpl w:val="23143D7A"/>
    <w:lvl w:ilvl="0">
      <w:start w:val="1"/>
      <w:numFmt w:val="lowerLetter"/>
      <w:lvlText w:val="%1)"/>
      <w:lvlJc w:val="left"/>
      <w:pPr>
        <w:tabs>
          <w:tab w:val="num" w:pos="1211"/>
        </w:tabs>
        <w:ind w:left="1208" w:hanging="357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701"/>
        </w:tabs>
        <w:ind w:left="1701" w:hanging="493"/>
      </w:pPr>
      <w:rPr>
        <w:rFonts w:hint="default"/>
      </w:rPr>
    </w:lvl>
    <w:lvl w:ilvl="2">
      <w:start w:val="1"/>
      <w:numFmt w:val="decimal"/>
      <w:lvlText w:val="%1.%2.%3 - "/>
      <w:lvlJc w:val="left"/>
      <w:pPr>
        <w:tabs>
          <w:tab w:val="num" w:pos="249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9">
    <w:nsid w:val="39D72318"/>
    <w:multiLevelType w:val="singleLevel"/>
    <w:tmpl w:val="FD5C524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C913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C9D2174"/>
    <w:multiLevelType w:val="singleLevel"/>
    <w:tmpl w:val="C57234FC"/>
    <w:lvl w:ilvl="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</w:abstractNum>
  <w:abstractNum w:abstractNumId="22">
    <w:nsid w:val="3E74385C"/>
    <w:multiLevelType w:val="multilevel"/>
    <w:tmpl w:val="C974E9FE"/>
    <w:lvl w:ilvl="0">
      <w:start w:val="1"/>
      <w:numFmt w:val="decimal"/>
      <w:lvlText w:val="%1"/>
      <w:lvlJc w:val="left"/>
      <w:pPr>
        <w:ind w:left="1500" w:hanging="114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>
    <w:nsid w:val="3EF75317"/>
    <w:multiLevelType w:val="multilevel"/>
    <w:tmpl w:val="26D8AA74"/>
    <w:lvl w:ilvl="0">
      <w:start w:val="1"/>
      <w:numFmt w:val="lowerLetter"/>
      <w:lvlText w:val="%1)"/>
      <w:lvlJc w:val="left"/>
      <w:pPr>
        <w:tabs>
          <w:tab w:val="num" w:pos="2061"/>
        </w:tabs>
        <w:ind w:left="2058" w:hanging="35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2418"/>
        </w:tabs>
        <w:ind w:left="2415" w:hanging="35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)"/>
      <w:lvlJc w:val="left"/>
      <w:pPr>
        <w:tabs>
          <w:tab w:val="num" w:pos="3135"/>
        </w:tabs>
        <w:ind w:left="2773" w:hanging="358"/>
      </w:pPr>
      <w:rPr>
        <w:rFonts w:ascii="Arial" w:hAnsi="Arial" w:hint="default"/>
        <w:b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401"/>
        </w:tabs>
        <w:ind w:left="2398" w:hanging="357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4">
    <w:nsid w:val="3F9E466F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0F664B"/>
    <w:multiLevelType w:val="multilevel"/>
    <w:tmpl w:val="124C3E08"/>
    <w:lvl w:ilvl="0">
      <w:start w:val="8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60"/>
        </w:tabs>
        <w:ind w:left="42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0"/>
        </w:tabs>
        <w:ind w:left="7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700"/>
        </w:tabs>
        <w:ind w:left="11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140"/>
        </w:tabs>
        <w:ind w:left="19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680"/>
        </w:tabs>
        <w:ind w:left="22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80"/>
        </w:tabs>
        <w:ind w:left="26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480"/>
        </w:tabs>
        <w:ind w:left="30480" w:hanging="2160"/>
      </w:pPr>
      <w:rPr>
        <w:rFonts w:hint="default"/>
      </w:rPr>
    </w:lvl>
  </w:abstractNum>
  <w:abstractNum w:abstractNumId="26">
    <w:nsid w:val="46E57CEF"/>
    <w:multiLevelType w:val="hybridMultilevel"/>
    <w:tmpl w:val="D80E47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F8422E"/>
    <w:multiLevelType w:val="singleLevel"/>
    <w:tmpl w:val="29AE6782"/>
    <w:lvl w:ilvl="0"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hint="default"/>
      </w:rPr>
    </w:lvl>
  </w:abstractNum>
  <w:abstractNum w:abstractNumId="28">
    <w:nsid w:val="4C290D9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4F651639"/>
    <w:multiLevelType w:val="hybridMultilevel"/>
    <w:tmpl w:val="E146DB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901CF6"/>
    <w:multiLevelType w:val="singleLevel"/>
    <w:tmpl w:val="F0441CA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51185588"/>
    <w:multiLevelType w:val="singleLevel"/>
    <w:tmpl w:val="1C08BE00"/>
    <w:lvl w:ilvl="0"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hint="default"/>
        <w:sz w:val="32"/>
      </w:rPr>
    </w:lvl>
  </w:abstractNum>
  <w:abstractNum w:abstractNumId="32">
    <w:nsid w:val="565B1E9D"/>
    <w:multiLevelType w:val="singleLevel"/>
    <w:tmpl w:val="63CAC05C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33">
    <w:nsid w:val="5BF347B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61D2973"/>
    <w:multiLevelType w:val="singleLevel"/>
    <w:tmpl w:val="9E2A3AEE"/>
    <w:lvl w:ilvl="0">
      <w:start w:val="1"/>
      <w:numFmt w:val="lowerLetter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9126A3"/>
    <w:multiLevelType w:val="singleLevel"/>
    <w:tmpl w:val="EFBA4C4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2323051"/>
    <w:multiLevelType w:val="hybridMultilevel"/>
    <w:tmpl w:val="1C16CC0E"/>
    <w:lvl w:ilvl="0" w:tplc="ED36E46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AF4DE1"/>
    <w:multiLevelType w:val="multilevel"/>
    <w:tmpl w:val="D834E0E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3BA07A9"/>
    <w:multiLevelType w:val="multilevel"/>
    <w:tmpl w:val="0416001F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74B76AB7"/>
    <w:multiLevelType w:val="singleLevel"/>
    <w:tmpl w:val="77BCC3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7691734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778906BA"/>
    <w:multiLevelType w:val="singleLevel"/>
    <w:tmpl w:val="866200A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42">
    <w:nsid w:val="79092C88"/>
    <w:multiLevelType w:val="singleLevel"/>
    <w:tmpl w:val="3D729E0C"/>
    <w:lvl w:ilvl="0">
      <w:start w:val="3"/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Times New Roman" w:hAnsi="Times New Roman" w:hint="default"/>
      </w:rPr>
    </w:lvl>
  </w:abstractNum>
  <w:abstractNum w:abstractNumId="43">
    <w:nsid w:val="793D7632"/>
    <w:multiLevelType w:val="singleLevel"/>
    <w:tmpl w:val="4C8298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9"/>
  </w:num>
  <w:num w:numId="2">
    <w:abstractNumId w:val="31"/>
  </w:num>
  <w:num w:numId="3">
    <w:abstractNumId w:val="27"/>
  </w:num>
  <w:num w:numId="4">
    <w:abstractNumId w:val="11"/>
  </w:num>
  <w:num w:numId="5">
    <w:abstractNumId w:val="12"/>
  </w:num>
  <w:num w:numId="6">
    <w:abstractNumId w:val="21"/>
  </w:num>
  <w:num w:numId="7">
    <w:abstractNumId w:val="1"/>
  </w:num>
  <w:num w:numId="8">
    <w:abstractNumId w:val="35"/>
  </w:num>
  <w:num w:numId="9">
    <w:abstractNumId w:val="5"/>
  </w:num>
  <w:num w:numId="10">
    <w:abstractNumId w:val="42"/>
  </w:num>
  <w:num w:numId="11">
    <w:abstractNumId w:val="25"/>
  </w:num>
  <w:num w:numId="12">
    <w:abstractNumId w:val="9"/>
  </w:num>
  <w:num w:numId="13">
    <w:abstractNumId w:val="37"/>
  </w:num>
  <w:num w:numId="14">
    <w:abstractNumId w:val="34"/>
  </w:num>
  <w:num w:numId="15">
    <w:abstractNumId w:val="4"/>
  </w:num>
  <w:num w:numId="16">
    <w:abstractNumId w:val="30"/>
  </w:num>
  <w:num w:numId="17">
    <w:abstractNumId w:val="28"/>
  </w:num>
  <w:num w:numId="18">
    <w:abstractNumId w:val="17"/>
  </w:num>
  <w:num w:numId="19">
    <w:abstractNumId w:val="7"/>
  </w:num>
  <w:num w:numId="20">
    <w:abstractNumId w:val="33"/>
  </w:num>
  <w:num w:numId="21">
    <w:abstractNumId w:val="24"/>
  </w:num>
  <w:num w:numId="22">
    <w:abstractNumId w:val="40"/>
  </w:num>
  <w:num w:numId="23">
    <w:abstractNumId w:val="20"/>
  </w:num>
  <w:num w:numId="24">
    <w:abstractNumId w:val="43"/>
  </w:num>
  <w:num w:numId="25">
    <w:abstractNumId w:val="19"/>
  </w:num>
  <w:num w:numId="26">
    <w:abstractNumId w:val="15"/>
  </w:num>
  <w:num w:numId="27">
    <w:abstractNumId w:val="3"/>
  </w:num>
  <w:num w:numId="28">
    <w:abstractNumId w:val="0"/>
  </w:num>
  <w:num w:numId="29">
    <w:abstractNumId w:val="18"/>
  </w:num>
  <w:num w:numId="30">
    <w:abstractNumId w:val="14"/>
  </w:num>
  <w:num w:numId="31">
    <w:abstractNumId w:val="16"/>
  </w:num>
  <w:num w:numId="32">
    <w:abstractNumId w:val="6"/>
  </w:num>
  <w:num w:numId="33">
    <w:abstractNumId w:val="2"/>
  </w:num>
  <w:num w:numId="34">
    <w:abstractNumId w:val="23"/>
  </w:num>
  <w:num w:numId="35">
    <w:abstractNumId w:val="10"/>
  </w:num>
  <w:num w:numId="36">
    <w:abstractNumId w:val="41"/>
  </w:num>
  <w:num w:numId="37">
    <w:abstractNumId w:val="32"/>
  </w:num>
  <w:num w:numId="38">
    <w:abstractNumId w:val="22"/>
  </w:num>
  <w:num w:numId="39">
    <w:abstractNumId w:val="8"/>
  </w:num>
  <w:num w:numId="40">
    <w:abstractNumId w:val="29"/>
  </w:num>
  <w:num w:numId="41">
    <w:abstractNumId w:val="13"/>
  </w:num>
  <w:num w:numId="42">
    <w:abstractNumId w:val="26"/>
  </w:num>
  <w:num w:numId="43">
    <w:abstractNumId w:val="36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726"/>
    <w:rsid w:val="000251BA"/>
    <w:rsid w:val="00031DCD"/>
    <w:rsid w:val="00033953"/>
    <w:rsid w:val="00060E5B"/>
    <w:rsid w:val="000803A0"/>
    <w:rsid w:val="0008664F"/>
    <w:rsid w:val="00093103"/>
    <w:rsid w:val="000A5527"/>
    <w:rsid w:val="000C6BDF"/>
    <w:rsid w:val="000D0EEF"/>
    <w:rsid w:val="000D220B"/>
    <w:rsid w:val="000E2ACA"/>
    <w:rsid w:val="000F3592"/>
    <w:rsid w:val="00101F67"/>
    <w:rsid w:val="00103A68"/>
    <w:rsid w:val="00116E07"/>
    <w:rsid w:val="00117767"/>
    <w:rsid w:val="00120776"/>
    <w:rsid w:val="001343BD"/>
    <w:rsid w:val="00134797"/>
    <w:rsid w:val="0014438A"/>
    <w:rsid w:val="00144815"/>
    <w:rsid w:val="00145762"/>
    <w:rsid w:val="0016273F"/>
    <w:rsid w:val="00163928"/>
    <w:rsid w:val="001718CC"/>
    <w:rsid w:val="001728B7"/>
    <w:rsid w:val="00176148"/>
    <w:rsid w:val="001836CF"/>
    <w:rsid w:val="001A5D9E"/>
    <w:rsid w:val="001B2116"/>
    <w:rsid w:val="001C58EA"/>
    <w:rsid w:val="001E0A7A"/>
    <w:rsid w:val="0020369D"/>
    <w:rsid w:val="00203CEE"/>
    <w:rsid w:val="00210652"/>
    <w:rsid w:val="002166A5"/>
    <w:rsid w:val="00241063"/>
    <w:rsid w:val="00260911"/>
    <w:rsid w:val="00261995"/>
    <w:rsid w:val="00264F9E"/>
    <w:rsid w:val="002653FA"/>
    <w:rsid w:val="0026705E"/>
    <w:rsid w:val="00271D3D"/>
    <w:rsid w:val="002862C8"/>
    <w:rsid w:val="00294026"/>
    <w:rsid w:val="0029648C"/>
    <w:rsid w:val="002A0847"/>
    <w:rsid w:val="002A19AA"/>
    <w:rsid w:val="002B2603"/>
    <w:rsid w:val="002B315C"/>
    <w:rsid w:val="002C4F59"/>
    <w:rsid w:val="002E1390"/>
    <w:rsid w:val="002E45F3"/>
    <w:rsid w:val="002E5723"/>
    <w:rsid w:val="002E77C1"/>
    <w:rsid w:val="002F0C63"/>
    <w:rsid w:val="002F1EC6"/>
    <w:rsid w:val="002F5973"/>
    <w:rsid w:val="002F682A"/>
    <w:rsid w:val="002F7DC7"/>
    <w:rsid w:val="00313C88"/>
    <w:rsid w:val="00327A9C"/>
    <w:rsid w:val="00330D1F"/>
    <w:rsid w:val="00334577"/>
    <w:rsid w:val="00354408"/>
    <w:rsid w:val="003759B2"/>
    <w:rsid w:val="003915FD"/>
    <w:rsid w:val="003A27D9"/>
    <w:rsid w:val="003A72FC"/>
    <w:rsid w:val="003A7E6E"/>
    <w:rsid w:val="003C29C4"/>
    <w:rsid w:val="003C4BF1"/>
    <w:rsid w:val="003C7295"/>
    <w:rsid w:val="003D4879"/>
    <w:rsid w:val="003D5767"/>
    <w:rsid w:val="003E1877"/>
    <w:rsid w:val="003F06B5"/>
    <w:rsid w:val="003F6794"/>
    <w:rsid w:val="00417292"/>
    <w:rsid w:val="00420C2C"/>
    <w:rsid w:val="0042496B"/>
    <w:rsid w:val="00441C65"/>
    <w:rsid w:val="00445435"/>
    <w:rsid w:val="00450726"/>
    <w:rsid w:val="0045156D"/>
    <w:rsid w:val="004721B4"/>
    <w:rsid w:val="00473E10"/>
    <w:rsid w:val="00495594"/>
    <w:rsid w:val="004B088A"/>
    <w:rsid w:val="004B37E4"/>
    <w:rsid w:val="004C4EDC"/>
    <w:rsid w:val="004E2C3B"/>
    <w:rsid w:val="004E4D9F"/>
    <w:rsid w:val="004E5A30"/>
    <w:rsid w:val="004F3ED9"/>
    <w:rsid w:val="00503DF8"/>
    <w:rsid w:val="00511E54"/>
    <w:rsid w:val="00515024"/>
    <w:rsid w:val="00520F2A"/>
    <w:rsid w:val="005220F5"/>
    <w:rsid w:val="00526459"/>
    <w:rsid w:val="005504F0"/>
    <w:rsid w:val="005521B9"/>
    <w:rsid w:val="005621E2"/>
    <w:rsid w:val="00565870"/>
    <w:rsid w:val="0058418D"/>
    <w:rsid w:val="00596124"/>
    <w:rsid w:val="00597413"/>
    <w:rsid w:val="005B4A6B"/>
    <w:rsid w:val="005B6834"/>
    <w:rsid w:val="005B789A"/>
    <w:rsid w:val="005D3976"/>
    <w:rsid w:val="005D7365"/>
    <w:rsid w:val="005F4C9C"/>
    <w:rsid w:val="005F7F15"/>
    <w:rsid w:val="00646958"/>
    <w:rsid w:val="00654070"/>
    <w:rsid w:val="00676F84"/>
    <w:rsid w:val="006917E0"/>
    <w:rsid w:val="006A2264"/>
    <w:rsid w:val="006B0855"/>
    <w:rsid w:val="006B2C55"/>
    <w:rsid w:val="006E34A1"/>
    <w:rsid w:val="006F3E2B"/>
    <w:rsid w:val="00701F7E"/>
    <w:rsid w:val="0070524D"/>
    <w:rsid w:val="00710BE2"/>
    <w:rsid w:val="007140D3"/>
    <w:rsid w:val="007233D3"/>
    <w:rsid w:val="0072673C"/>
    <w:rsid w:val="007340C4"/>
    <w:rsid w:val="00741DFF"/>
    <w:rsid w:val="0074439A"/>
    <w:rsid w:val="00744C07"/>
    <w:rsid w:val="007509BD"/>
    <w:rsid w:val="00755754"/>
    <w:rsid w:val="00785BBE"/>
    <w:rsid w:val="0079407D"/>
    <w:rsid w:val="007A468A"/>
    <w:rsid w:val="007B3520"/>
    <w:rsid w:val="007C3450"/>
    <w:rsid w:val="007D42AB"/>
    <w:rsid w:val="007E0CD8"/>
    <w:rsid w:val="007E0D18"/>
    <w:rsid w:val="007E3A08"/>
    <w:rsid w:val="007E6ABE"/>
    <w:rsid w:val="007F13E9"/>
    <w:rsid w:val="007F1EDE"/>
    <w:rsid w:val="008015F6"/>
    <w:rsid w:val="00805F65"/>
    <w:rsid w:val="00817C39"/>
    <w:rsid w:val="00825A45"/>
    <w:rsid w:val="008319C3"/>
    <w:rsid w:val="00835659"/>
    <w:rsid w:val="00840212"/>
    <w:rsid w:val="00840FC7"/>
    <w:rsid w:val="00852F2D"/>
    <w:rsid w:val="00861746"/>
    <w:rsid w:val="00866759"/>
    <w:rsid w:val="0087529F"/>
    <w:rsid w:val="00876ED4"/>
    <w:rsid w:val="00890685"/>
    <w:rsid w:val="008B327A"/>
    <w:rsid w:val="008B33DD"/>
    <w:rsid w:val="008C1E28"/>
    <w:rsid w:val="008D7CB4"/>
    <w:rsid w:val="008E7B9A"/>
    <w:rsid w:val="008F3C54"/>
    <w:rsid w:val="00906BAF"/>
    <w:rsid w:val="00912904"/>
    <w:rsid w:val="00915501"/>
    <w:rsid w:val="009206F1"/>
    <w:rsid w:val="00925B59"/>
    <w:rsid w:val="009317CD"/>
    <w:rsid w:val="0093190A"/>
    <w:rsid w:val="0093382D"/>
    <w:rsid w:val="0093586B"/>
    <w:rsid w:val="009518BF"/>
    <w:rsid w:val="00956060"/>
    <w:rsid w:val="009617FF"/>
    <w:rsid w:val="00964D10"/>
    <w:rsid w:val="00967318"/>
    <w:rsid w:val="009746ED"/>
    <w:rsid w:val="00974F82"/>
    <w:rsid w:val="009A0D1B"/>
    <w:rsid w:val="009B2647"/>
    <w:rsid w:val="009C7C50"/>
    <w:rsid w:val="009E42EC"/>
    <w:rsid w:val="009F1DA4"/>
    <w:rsid w:val="009F48AE"/>
    <w:rsid w:val="00A100B7"/>
    <w:rsid w:val="00A3077C"/>
    <w:rsid w:val="00A676DC"/>
    <w:rsid w:val="00A731B6"/>
    <w:rsid w:val="00AB6DE1"/>
    <w:rsid w:val="00AD330E"/>
    <w:rsid w:val="00AD4524"/>
    <w:rsid w:val="00AE5871"/>
    <w:rsid w:val="00AF150F"/>
    <w:rsid w:val="00AF694B"/>
    <w:rsid w:val="00B066F9"/>
    <w:rsid w:val="00B069A8"/>
    <w:rsid w:val="00B11C8E"/>
    <w:rsid w:val="00B3415E"/>
    <w:rsid w:val="00B4309F"/>
    <w:rsid w:val="00B44028"/>
    <w:rsid w:val="00B47A36"/>
    <w:rsid w:val="00B53560"/>
    <w:rsid w:val="00B619CB"/>
    <w:rsid w:val="00B83545"/>
    <w:rsid w:val="00B85B8E"/>
    <w:rsid w:val="00B913B6"/>
    <w:rsid w:val="00B91673"/>
    <w:rsid w:val="00BC5181"/>
    <w:rsid w:val="00BE1B76"/>
    <w:rsid w:val="00BF7D17"/>
    <w:rsid w:val="00C0709F"/>
    <w:rsid w:val="00C07FD5"/>
    <w:rsid w:val="00C166EF"/>
    <w:rsid w:val="00C26535"/>
    <w:rsid w:val="00C3704F"/>
    <w:rsid w:val="00C53393"/>
    <w:rsid w:val="00C60C92"/>
    <w:rsid w:val="00C61CA7"/>
    <w:rsid w:val="00C904A3"/>
    <w:rsid w:val="00C94007"/>
    <w:rsid w:val="00C9475F"/>
    <w:rsid w:val="00C956CB"/>
    <w:rsid w:val="00CB64B4"/>
    <w:rsid w:val="00CB722F"/>
    <w:rsid w:val="00CE0B06"/>
    <w:rsid w:val="00CE5935"/>
    <w:rsid w:val="00CE5955"/>
    <w:rsid w:val="00CF1731"/>
    <w:rsid w:val="00CF2D07"/>
    <w:rsid w:val="00D05FFC"/>
    <w:rsid w:val="00D0710E"/>
    <w:rsid w:val="00D16D58"/>
    <w:rsid w:val="00D210CC"/>
    <w:rsid w:val="00D310D7"/>
    <w:rsid w:val="00D3178D"/>
    <w:rsid w:val="00D337ED"/>
    <w:rsid w:val="00D339B6"/>
    <w:rsid w:val="00D35A86"/>
    <w:rsid w:val="00D37700"/>
    <w:rsid w:val="00D4681C"/>
    <w:rsid w:val="00D47DA8"/>
    <w:rsid w:val="00D55E30"/>
    <w:rsid w:val="00D578AE"/>
    <w:rsid w:val="00D6239F"/>
    <w:rsid w:val="00D643E4"/>
    <w:rsid w:val="00D7331F"/>
    <w:rsid w:val="00D92083"/>
    <w:rsid w:val="00D92AF1"/>
    <w:rsid w:val="00DB60D7"/>
    <w:rsid w:val="00DB6159"/>
    <w:rsid w:val="00DB635E"/>
    <w:rsid w:val="00DB7D70"/>
    <w:rsid w:val="00DC05D1"/>
    <w:rsid w:val="00DC72BA"/>
    <w:rsid w:val="00DD0BEF"/>
    <w:rsid w:val="00DD1B1D"/>
    <w:rsid w:val="00DD77B3"/>
    <w:rsid w:val="00DF6A17"/>
    <w:rsid w:val="00E10F26"/>
    <w:rsid w:val="00E11A43"/>
    <w:rsid w:val="00E12A55"/>
    <w:rsid w:val="00E1506F"/>
    <w:rsid w:val="00E21AFE"/>
    <w:rsid w:val="00E277FE"/>
    <w:rsid w:val="00E559F3"/>
    <w:rsid w:val="00E61733"/>
    <w:rsid w:val="00E71543"/>
    <w:rsid w:val="00E8234A"/>
    <w:rsid w:val="00E86F89"/>
    <w:rsid w:val="00E93539"/>
    <w:rsid w:val="00EA3D5B"/>
    <w:rsid w:val="00EB6D95"/>
    <w:rsid w:val="00EE4310"/>
    <w:rsid w:val="00EE69DE"/>
    <w:rsid w:val="00F01645"/>
    <w:rsid w:val="00F01A5A"/>
    <w:rsid w:val="00F053F9"/>
    <w:rsid w:val="00F1693F"/>
    <w:rsid w:val="00F228E8"/>
    <w:rsid w:val="00F257C3"/>
    <w:rsid w:val="00F27BA6"/>
    <w:rsid w:val="00F349A8"/>
    <w:rsid w:val="00F37F8E"/>
    <w:rsid w:val="00F5018B"/>
    <w:rsid w:val="00F50923"/>
    <w:rsid w:val="00F63DD6"/>
    <w:rsid w:val="00F87E09"/>
    <w:rsid w:val="00F907B3"/>
    <w:rsid w:val="00F9289A"/>
    <w:rsid w:val="00FA7499"/>
    <w:rsid w:val="00FB131B"/>
    <w:rsid w:val="00FB75BC"/>
    <w:rsid w:val="00FC3496"/>
    <w:rsid w:val="00FC5108"/>
    <w:rsid w:val="00FD005C"/>
    <w:rsid w:val="00FD5EE5"/>
    <w:rsid w:val="00FE2814"/>
    <w:rsid w:val="00FE3FDC"/>
    <w:rsid w:val="00FE7804"/>
    <w:rsid w:val="00FE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Tahoma" w:hAnsi="Tahoma"/>
      <w:color w:val="000000"/>
      <w:spacing w:val="-3"/>
      <w:sz w:val="32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aramond" w:hAnsi="Garamond"/>
      <w:i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120" w:after="120" w:line="340" w:lineRule="exact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aramond" w:hAnsi="Garamond"/>
      <w:b/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  <w:sz w:val="22"/>
    </w:rPr>
  </w:style>
  <w:style w:type="paragraph" w:styleId="Ttulo6">
    <w:name w:val="heading 6"/>
    <w:basedOn w:val="Normal"/>
    <w:next w:val="Normal"/>
    <w:qFormat/>
    <w:pPr>
      <w:keepNext/>
      <w:spacing w:before="120" w:after="120" w:line="340" w:lineRule="exact"/>
      <w:outlineLvl w:val="5"/>
    </w:pPr>
    <w:rPr>
      <w:rFonts w:ascii="Arial" w:hAnsi="Arial"/>
      <w:b/>
      <w:sz w:val="22"/>
      <w:u w:val="single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aliases w:val="hd,he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ind w:left="4395"/>
    </w:pPr>
    <w:rPr>
      <w:rFonts w:ascii="Arial" w:hAnsi="Arial"/>
      <w:sz w:val="22"/>
    </w:rPr>
  </w:style>
  <w:style w:type="paragraph" w:styleId="Recuodecorpodetexto2">
    <w:name w:val="Body Text Indent 2"/>
    <w:basedOn w:val="Normal"/>
    <w:semiHidden/>
    <w:pPr>
      <w:spacing w:line="360" w:lineRule="auto"/>
      <w:ind w:firstLine="1985"/>
    </w:pPr>
    <w:rPr>
      <w:rFonts w:ascii="Arial" w:hAnsi="Arial"/>
      <w:sz w:val="22"/>
    </w:rPr>
  </w:style>
  <w:style w:type="paragraph" w:styleId="Recuodecorpodetexto3">
    <w:name w:val="Body Text Indent 3"/>
    <w:basedOn w:val="Normal"/>
    <w:semiHidden/>
    <w:pPr>
      <w:spacing w:line="360" w:lineRule="auto"/>
      <w:ind w:left="426" w:hanging="426"/>
    </w:pPr>
    <w:rPr>
      <w:rFonts w:ascii="Arial" w:hAnsi="Arial"/>
      <w:b/>
      <w:sz w:val="22"/>
    </w:rPr>
  </w:style>
  <w:style w:type="character" w:styleId="Forte">
    <w:name w:val="Strong"/>
    <w:qFormat/>
    <w:rPr>
      <w:b/>
    </w:r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rPr>
      <w:rFonts w:ascii="Arial" w:hAnsi="Arial"/>
      <w:sz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semiHidden/>
    <w:rPr>
      <w:b/>
      <w:snapToGrid w:val="0"/>
      <w:sz w:val="24"/>
    </w:rPr>
  </w:style>
  <w:style w:type="paragraph" w:styleId="TextosemFormatao">
    <w:name w:val="Plain Text"/>
    <w:basedOn w:val="Normal"/>
    <w:semiHidden/>
    <w:pPr>
      <w:spacing w:after="120"/>
      <w:ind w:firstLine="709"/>
    </w:pPr>
    <w:rPr>
      <w:rFonts w:ascii="Arial" w:hAnsi="Arial" w:cs="Courier New"/>
      <w:color w:val="auto"/>
      <w:spacing w:val="0"/>
      <w:sz w:val="24"/>
    </w:rPr>
  </w:style>
  <w:style w:type="paragraph" w:styleId="Corpodetexto3">
    <w:name w:val="Body Text 3"/>
    <w:basedOn w:val="Normal"/>
    <w:semiHidden/>
    <w:pPr>
      <w:autoSpaceDE w:val="0"/>
      <w:autoSpaceDN w:val="0"/>
      <w:adjustRightInd w:val="0"/>
    </w:pPr>
    <w:rPr>
      <w:rFonts w:ascii="Times New Roman" w:hAnsi="Times New Roman"/>
      <w:color w:val="auto"/>
      <w:spacing w:val="0"/>
      <w:sz w:val="24"/>
      <w:szCs w:val="24"/>
    </w:rPr>
  </w:style>
  <w:style w:type="paragraph" w:styleId="NormalWeb">
    <w:name w:val="Normal (Web)"/>
    <w:basedOn w:val="Normal"/>
    <w:semiHidden/>
    <w:pPr>
      <w:spacing w:line="360" w:lineRule="auto"/>
      <w:ind w:firstLine="1200"/>
      <w:jc w:val="left"/>
    </w:pPr>
    <w:rPr>
      <w:rFonts w:ascii="Arial Unicode MS" w:eastAsia="Arial Unicode MS" w:hAnsi="Arial Unicode MS" w:cs="Arial Unicode MS"/>
      <w:color w:val="auto"/>
      <w:spacing w:val="0"/>
      <w:sz w:val="24"/>
      <w:szCs w:val="24"/>
    </w:rPr>
  </w:style>
  <w:style w:type="table" w:styleId="Tabelacomgrade">
    <w:name w:val="Table Grid"/>
    <w:basedOn w:val="Tabelanormal"/>
    <w:uiPriority w:val="59"/>
    <w:rsid w:val="007E6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F7DC7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F7DC7"/>
    <w:rPr>
      <w:rFonts w:ascii="Tahoma" w:hAnsi="Tahoma" w:cs="Tahoma"/>
      <w:color w:val="000000"/>
      <w:spacing w:val="-3"/>
      <w:sz w:val="16"/>
      <w:szCs w:val="16"/>
    </w:rPr>
  </w:style>
  <w:style w:type="paragraph" w:customStyle="1" w:styleId="TCU-RelVoto-demais">
    <w:name w:val="TCU - Rel/Voto - demais §§"/>
    <w:basedOn w:val="Normal"/>
    <w:qFormat/>
    <w:rsid w:val="007D42AB"/>
    <w:pPr>
      <w:tabs>
        <w:tab w:val="left" w:pos="1134"/>
      </w:tabs>
      <w:spacing w:after="160"/>
    </w:pPr>
    <w:rPr>
      <w:rFonts w:ascii="Times New Roman" w:hAnsi="Times New Roman"/>
      <w:color w:val="auto"/>
      <w:spacing w:val="0"/>
      <w:sz w:val="24"/>
      <w:szCs w:val="22"/>
      <w:lang w:eastAsia="en-US"/>
    </w:rPr>
  </w:style>
  <w:style w:type="paragraph" w:customStyle="1" w:styleId="TCU-Epgrafe">
    <w:name w:val="TCU - Epígrafe"/>
    <w:basedOn w:val="Normal"/>
    <w:rsid w:val="00FA7499"/>
    <w:pPr>
      <w:ind w:left="2835"/>
    </w:pPr>
    <w:rPr>
      <w:rFonts w:ascii="Times New Roman" w:hAnsi="Times New Roman"/>
      <w:color w:val="auto"/>
      <w:spacing w:val="0"/>
      <w:sz w:val="24"/>
    </w:rPr>
  </w:style>
  <w:style w:type="character" w:customStyle="1" w:styleId="CabealhoChar">
    <w:name w:val="Cabeçalho Char"/>
    <w:aliases w:val="hd Char,he Char"/>
    <w:link w:val="Cabealho"/>
    <w:uiPriority w:val="99"/>
    <w:locked/>
    <w:rsid w:val="00060E5B"/>
    <w:rPr>
      <w:rFonts w:ascii="Tahoma" w:hAnsi="Tahoma"/>
      <w:color w:val="000000"/>
      <w:spacing w:val="-3"/>
      <w:sz w:val="32"/>
    </w:rPr>
  </w:style>
  <w:style w:type="paragraph" w:customStyle="1" w:styleId="TCU-Ac-item9-">
    <w:name w:val="TCU - Ac - item 9 - §§"/>
    <w:basedOn w:val="Normal"/>
    <w:qFormat/>
    <w:rsid w:val="008F3C54"/>
    <w:pPr>
      <w:ind w:firstLine="1134"/>
    </w:pPr>
    <w:rPr>
      <w:rFonts w:ascii="Times New Roman" w:hAnsi="Times New Roman"/>
      <w:color w:val="auto"/>
      <w:spacing w:val="0"/>
      <w:sz w:val="24"/>
      <w:szCs w:val="22"/>
      <w:lang w:eastAsia="en-US"/>
    </w:rPr>
  </w:style>
  <w:style w:type="paragraph" w:customStyle="1" w:styleId="TCU-RelVoto-1">
    <w:name w:val="TCU - Rel/Voto - 1º §"/>
    <w:basedOn w:val="Normal"/>
    <w:qFormat/>
    <w:rsid w:val="00D310D7"/>
    <w:pPr>
      <w:spacing w:after="160"/>
      <w:ind w:firstLine="1134"/>
    </w:pPr>
    <w:rPr>
      <w:rFonts w:ascii="Times New Roman" w:hAnsi="Times New Roman"/>
      <w:color w:val="auto"/>
      <w:spacing w:val="0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Tahoma" w:hAnsi="Tahoma"/>
      <w:color w:val="000000"/>
      <w:spacing w:val="-3"/>
      <w:sz w:val="32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aramond" w:hAnsi="Garamond"/>
      <w:i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120" w:after="120" w:line="340" w:lineRule="exact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aramond" w:hAnsi="Garamond"/>
      <w:b/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  <w:sz w:val="22"/>
    </w:rPr>
  </w:style>
  <w:style w:type="paragraph" w:styleId="Ttulo6">
    <w:name w:val="heading 6"/>
    <w:basedOn w:val="Normal"/>
    <w:next w:val="Normal"/>
    <w:qFormat/>
    <w:pPr>
      <w:keepNext/>
      <w:spacing w:before="120" w:after="120" w:line="340" w:lineRule="exact"/>
      <w:outlineLvl w:val="5"/>
    </w:pPr>
    <w:rPr>
      <w:rFonts w:ascii="Arial" w:hAnsi="Arial"/>
      <w:b/>
      <w:sz w:val="22"/>
      <w:u w:val="single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aliases w:val="hd,he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pPr>
      <w:ind w:left="4395"/>
    </w:pPr>
    <w:rPr>
      <w:rFonts w:ascii="Arial" w:hAnsi="Arial"/>
      <w:sz w:val="22"/>
    </w:rPr>
  </w:style>
  <w:style w:type="paragraph" w:styleId="Recuodecorpodetexto2">
    <w:name w:val="Body Text Indent 2"/>
    <w:basedOn w:val="Normal"/>
    <w:semiHidden/>
    <w:pPr>
      <w:spacing w:line="360" w:lineRule="auto"/>
      <w:ind w:firstLine="1985"/>
    </w:pPr>
    <w:rPr>
      <w:rFonts w:ascii="Arial" w:hAnsi="Arial"/>
      <w:sz w:val="22"/>
    </w:rPr>
  </w:style>
  <w:style w:type="paragraph" w:styleId="Recuodecorpodetexto3">
    <w:name w:val="Body Text Indent 3"/>
    <w:basedOn w:val="Normal"/>
    <w:semiHidden/>
    <w:pPr>
      <w:spacing w:line="360" w:lineRule="auto"/>
      <w:ind w:left="426" w:hanging="426"/>
    </w:pPr>
    <w:rPr>
      <w:rFonts w:ascii="Arial" w:hAnsi="Arial"/>
      <w:b/>
      <w:sz w:val="22"/>
    </w:rPr>
  </w:style>
  <w:style w:type="character" w:styleId="Forte">
    <w:name w:val="Strong"/>
    <w:qFormat/>
    <w:rPr>
      <w:b/>
    </w:r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rPr>
      <w:rFonts w:ascii="Arial" w:hAnsi="Arial"/>
      <w:sz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semiHidden/>
    <w:rPr>
      <w:b/>
      <w:snapToGrid w:val="0"/>
      <w:sz w:val="24"/>
    </w:rPr>
  </w:style>
  <w:style w:type="paragraph" w:styleId="TextosemFormatao">
    <w:name w:val="Plain Text"/>
    <w:basedOn w:val="Normal"/>
    <w:semiHidden/>
    <w:pPr>
      <w:spacing w:after="120"/>
      <w:ind w:firstLine="709"/>
    </w:pPr>
    <w:rPr>
      <w:rFonts w:ascii="Arial" w:hAnsi="Arial" w:cs="Courier New"/>
      <w:color w:val="auto"/>
      <w:spacing w:val="0"/>
      <w:sz w:val="24"/>
    </w:rPr>
  </w:style>
  <w:style w:type="paragraph" w:styleId="Corpodetexto3">
    <w:name w:val="Body Text 3"/>
    <w:basedOn w:val="Normal"/>
    <w:semiHidden/>
    <w:pPr>
      <w:autoSpaceDE w:val="0"/>
      <w:autoSpaceDN w:val="0"/>
      <w:adjustRightInd w:val="0"/>
    </w:pPr>
    <w:rPr>
      <w:rFonts w:ascii="Times New Roman" w:hAnsi="Times New Roman"/>
      <w:color w:val="auto"/>
      <w:spacing w:val="0"/>
      <w:sz w:val="24"/>
      <w:szCs w:val="24"/>
    </w:rPr>
  </w:style>
  <w:style w:type="paragraph" w:styleId="NormalWeb">
    <w:name w:val="Normal (Web)"/>
    <w:basedOn w:val="Normal"/>
    <w:semiHidden/>
    <w:pPr>
      <w:spacing w:line="360" w:lineRule="auto"/>
      <w:ind w:firstLine="1200"/>
      <w:jc w:val="left"/>
    </w:pPr>
    <w:rPr>
      <w:rFonts w:ascii="Arial Unicode MS" w:eastAsia="Arial Unicode MS" w:hAnsi="Arial Unicode MS" w:cs="Arial Unicode MS"/>
      <w:color w:val="auto"/>
      <w:spacing w:val="0"/>
      <w:sz w:val="24"/>
      <w:szCs w:val="24"/>
    </w:rPr>
  </w:style>
  <w:style w:type="table" w:styleId="Tabelacomgrade">
    <w:name w:val="Table Grid"/>
    <w:basedOn w:val="Tabelanormal"/>
    <w:uiPriority w:val="59"/>
    <w:rsid w:val="007E6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F7DC7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F7DC7"/>
    <w:rPr>
      <w:rFonts w:ascii="Tahoma" w:hAnsi="Tahoma" w:cs="Tahoma"/>
      <w:color w:val="000000"/>
      <w:spacing w:val="-3"/>
      <w:sz w:val="16"/>
      <w:szCs w:val="16"/>
    </w:rPr>
  </w:style>
  <w:style w:type="paragraph" w:customStyle="1" w:styleId="TCU-RelVoto-demais">
    <w:name w:val="TCU - Rel/Voto - demais §§"/>
    <w:basedOn w:val="Normal"/>
    <w:qFormat/>
    <w:rsid w:val="007D42AB"/>
    <w:pPr>
      <w:tabs>
        <w:tab w:val="left" w:pos="1134"/>
      </w:tabs>
      <w:spacing w:after="160"/>
    </w:pPr>
    <w:rPr>
      <w:rFonts w:ascii="Times New Roman" w:hAnsi="Times New Roman"/>
      <w:color w:val="auto"/>
      <w:spacing w:val="0"/>
      <w:sz w:val="24"/>
      <w:szCs w:val="22"/>
      <w:lang w:eastAsia="en-US"/>
    </w:rPr>
  </w:style>
  <w:style w:type="paragraph" w:customStyle="1" w:styleId="TCU-Epgrafe">
    <w:name w:val="TCU - Epígrafe"/>
    <w:basedOn w:val="Normal"/>
    <w:rsid w:val="00FA7499"/>
    <w:pPr>
      <w:ind w:left="2835"/>
    </w:pPr>
    <w:rPr>
      <w:rFonts w:ascii="Times New Roman" w:hAnsi="Times New Roman"/>
      <w:color w:val="auto"/>
      <w:spacing w:val="0"/>
      <w:sz w:val="24"/>
    </w:rPr>
  </w:style>
  <w:style w:type="character" w:customStyle="1" w:styleId="CabealhoChar">
    <w:name w:val="Cabeçalho Char"/>
    <w:aliases w:val="hd Char,he Char"/>
    <w:link w:val="Cabealho"/>
    <w:uiPriority w:val="99"/>
    <w:locked/>
    <w:rsid w:val="00060E5B"/>
    <w:rPr>
      <w:rFonts w:ascii="Tahoma" w:hAnsi="Tahoma"/>
      <w:color w:val="000000"/>
      <w:spacing w:val="-3"/>
      <w:sz w:val="32"/>
    </w:rPr>
  </w:style>
  <w:style w:type="paragraph" w:customStyle="1" w:styleId="TCU-Ac-item9-">
    <w:name w:val="TCU - Ac - item 9 - §§"/>
    <w:basedOn w:val="Normal"/>
    <w:qFormat/>
    <w:rsid w:val="008F3C54"/>
    <w:pPr>
      <w:ind w:firstLine="1134"/>
    </w:pPr>
    <w:rPr>
      <w:rFonts w:ascii="Times New Roman" w:hAnsi="Times New Roman"/>
      <w:color w:val="auto"/>
      <w:spacing w:val="0"/>
      <w:sz w:val="24"/>
      <w:szCs w:val="22"/>
      <w:lang w:eastAsia="en-US"/>
    </w:rPr>
  </w:style>
  <w:style w:type="paragraph" w:customStyle="1" w:styleId="TCU-RelVoto-1">
    <w:name w:val="TCU - Rel/Voto - 1º §"/>
    <w:basedOn w:val="Normal"/>
    <w:qFormat/>
    <w:rsid w:val="00D310D7"/>
    <w:pPr>
      <w:spacing w:after="160"/>
      <w:ind w:firstLine="1134"/>
    </w:pPr>
    <w:rPr>
      <w:rFonts w:ascii="Times New Roman" w:hAnsi="Times New Roman"/>
      <w:color w:val="auto"/>
      <w:spacing w:val="0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CMPOF%20-%20decre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CMPOF - decreto</Template>
  <TotalTime>0</TotalTime>
  <Pages>5</Pages>
  <Words>1556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Da: Comissão de Obras</vt:lpstr>
    </vt:vector>
  </TitlesOfParts>
  <Company>TRF 2ª REGIÃO</Company>
  <LinksUpToDate>false</LinksUpToDate>
  <CharactersWithSpaces>9945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Da: Comissão de Obras</dc:title>
  <dc:creator>Márcio</dc:creator>
  <cp:lastModifiedBy>User</cp:lastModifiedBy>
  <cp:revision>2</cp:revision>
  <cp:lastPrinted>2017-10-09T12:39:00Z</cp:lastPrinted>
  <dcterms:created xsi:type="dcterms:W3CDTF">2017-10-24T10:52:00Z</dcterms:created>
  <dcterms:modified xsi:type="dcterms:W3CDTF">2017-10-24T10:52:00Z</dcterms:modified>
</cp:coreProperties>
</file>