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084A" w:rsidRPr="001651C6" w:rsidRDefault="0066084A" w:rsidP="0066084A">
      <w:pPr>
        <w:spacing w:before="1440"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651C6">
        <w:rPr>
          <w:rFonts w:ascii="Arial" w:hAnsi="Arial" w:cs="Arial"/>
          <w:b/>
          <w:sz w:val="28"/>
          <w:szCs w:val="28"/>
        </w:rPr>
        <w:t xml:space="preserve">PROJETO DE LEI N.º                </w:t>
      </w:r>
      <w:proofErr w:type="gramStart"/>
      <w:r w:rsidRPr="001651C6">
        <w:rPr>
          <w:rFonts w:ascii="Arial" w:hAnsi="Arial" w:cs="Arial"/>
          <w:b/>
          <w:sz w:val="28"/>
          <w:szCs w:val="28"/>
        </w:rPr>
        <w:t xml:space="preserve">  ,</w:t>
      </w:r>
      <w:proofErr w:type="gramEnd"/>
      <w:r w:rsidRPr="001651C6">
        <w:rPr>
          <w:rFonts w:ascii="Arial" w:hAnsi="Arial" w:cs="Arial"/>
          <w:b/>
          <w:sz w:val="28"/>
          <w:szCs w:val="28"/>
        </w:rPr>
        <w:t xml:space="preserve"> DE 2017</w:t>
      </w:r>
    </w:p>
    <w:p w:rsidR="0066084A" w:rsidRPr="004E30D7" w:rsidRDefault="0066084A" w:rsidP="0066084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E30D7">
        <w:rPr>
          <w:rFonts w:ascii="Arial" w:hAnsi="Arial" w:cs="Arial"/>
          <w:sz w:val="24"/>
          <w:szCs w:val="24"/>
        </w:rPr>
        <w:t>(Do Sr. Antonio Carlos Mendes Thame)</w:t>
      </w:r>
    </w:p>
    <w:p w:rsidR="0066084A" w:rsidRPr="004E30D7" w:rsidRDefault="0066084A" w:rsidP="0066084A">
      <w:pPr>
        <w:rPr>
          <w:rFonts w:ascii="Arial" w:hAnsi="Arial" w:cs="Arial"/>
          <w:sz w:val="24"/>
          <w:szCs w:val="24"/>
        </w:rPr>
      </w:pPr>
    </w:p>
    <w:p w:rsidR="0066084A" w:rsidRPr="004E30D7" w:rsidRDefault="000F5D34" w:rsidP="0066084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</w:p>
    <w:p w:rsidR="0066084A" w:rsidRPr="004E30D7" w:rsidRDefault="0066084A" w:rsidP="0066084A">
      <w:pPr>
        <w:ind w:left="3969"/>
        <w:jc w:val="both"/>
        <w:rPr>
          <w:rFonts w:ascii="Arial" w:hAnsi="Arial" w:cs="Arial"/>
          <w:sz w:val="24"/>
          <w:szCs w:val="24"/>
        </w:rPr>
      </w:pPr>
      <w:r w:rsidRPr="004E30D7">
        <w:rPr>
          <w:rFonts w:ascii="Arial" w:hAnsi="Arial" w:cs="Arial"/>
          <w:sz w:val="24"/>
          <w:szCs w:val="24"/>
        </w:rPr>
        <w:t>Altera a Lei n.º 12.651, de 25 de maio de 2012, que dispõe sobre a proteção da vegetação nativa, reclassificando os apicuns e salgados como Área de Preservação Permanente (APP).</w:t>
      </w:r>
    </w:p>
    <w:p w:rsidR="0066084A" w:rsidRDefault="0066084A" w:rsidP="0066084A">
      <w:pPr>
        <w:rPr>
          <w:rFonts w:ascii="Arial" w:hAnsi="Arial" w:cs="Arial"/>
          <w:sz w:val="24"/>
          <w:szCs w:val="24"/>
        </w:rPr>
      </w:pPr>
    </w:p>
    <w:p w:rsidR="008D2582" w:rsidRPr="004E30D7" w:rsidRDefault="008D2582" w:rsidP="0066084A">
      <w:pPr>
        <w:rPr>
          <w:rFonts w:ascii="Arial" w:hAnsi="Arial" w:cs="Arial"/>
          <w:sz w:val="24"/>
          <w:szCs w:val="24"/>
        </w:rPr>
      </w:pPr>
    </w:p>
    <w:p w:rsidR="0066084A" w:rsidRPr="004E30D7" w:rsidRDefault="0066084A" w:rsidP="0066084A">
      <w:pPr>
        <w:rPr>
          <w:rFonts w:ascii="Arial" w:hAnsi="Arial" w:cs="Arial"/>
          <w:sz w:val="24"/>
          <w:szCs w:val="24"/>
        </w:rPr>
      </w:pPr>
    </w:p>
    <w:p w:rsidR="0066084A" w:rsidRDefault="0066084A" w:rsidP="0066084A">
      <w:pPr>
        <w:ind w:firstLine="1134"/>
        <w:rPr>
          <w:rFonts w:ascii="Arial" w:hAnsi="Arial" w:cs="Arial"/>
          <w:sz w:val="24"/>
          <w:szCs w:val="24"/>
        </w:rPr>
      </w:pPr>
      <w:r w:rsidRPr="004E30D7">
        <w:rPr>
          <w:rFonts w:ascii="Arial" w:hAnsi="Arial" w:cs="Arial"/>
          <w:sz w:val="24"/>
          <w:szCs w:val="24"/>
        </w:rPr>
        <w:t>O Congresso Nacional decreta:</w:t>
      </w:r>
    </w:p>
    <w:p w:rsidR="0066084A" w:rsidRPr="004E30D7" w:rsidRDefault="0066084A" w:rsidP="0066084A">
      <w:pPr>
        <w:ind w:firstLine="1134"/>
        <w:rPr>
          <w:rFonts w:ascii="Arial" w:hAnsi="Arial" w:cs="Arial"/>
          <w:sz w:val="24"/>
          <w:szCs w:val="24"/>
        </w:rPr>
      </w:pPr>
    </w:p>
    <w:p w:rsidR="0066084A" w:rsidRPr="004E30D7" w:rsidRDefault="0066084A" w:rsidP="008D2582">
      <w:pPr>
        <w:spacing w:before="240" w:after="240" w:line="400" w:lineRule="exact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</w:t>
      </w:r>
      <w:r w:rsidRPr="004E30D7">
        <w:rPr>
          <w:rFonts w:ascii="Arial" w:hAnsi="Arial" w:cs="Arial"/>
          <w:sz w:val="24"/>
          <w:szCs w:val="24"/>
        </w:rPr>
        <w:t xml:space="preserve">º. O inciso </w:t>
      </w:r>
      <w:r>
        <w:rPr>
          <w:rFonts w:ascii="Arial" w:hAnsi="Arial" w:cs="Arial"/>
          <w:sz w:val="24"/>
          <w:szCs w:val="24"/>
        </w:rPr>
        <w:t xml:space="preserve">XIII </w:t>
      </w:r>
      <w:r w:rsidRPr="004E30D7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o artigo 3º d</w:t>
      </w:r>
      <w:r w:rsidRPr="004E30D7">
        <w:rPr>
          <w:rFonts w:ascii="Arial" w:hAnsi="Arial" w:cs="Arial"/>
          <w:sz w:val="24"/>
          <w:szCs w:val="24"/>
        </w:rPr>
        <w:t>a Lei n.º 12.651, de 25 de maio de 2012, que dispõe sobre a proteção da vegetação nativa, passa a vigorar com a seguinte redação:</w:t>
      </w:r>
    </w:p>
    <w:p w:rsidR="0066084A" w:rsidRDefault="0066084A" w:rsidP="008D2582">
      <w:pPr>
        <w:spacing w:before="240" w:after="240" w:line="400" w:lineRule="exact"/>
        <w:ind w:left="1134"/>
        <w:jc w:val="both"/>
        <w:rPr>
          <w:rFonts w:ascii="Arial" w:hAnsi="Arial" w:cs="Arial"/>
          <w:color w:val="000000"/>
          <w:sz w:val="24"/>
          <w:szCs w:val="24"/>
        </w:rPr>
      </w:pPr>
      <w:bookmarkStart w:id="1" w:name="art3xiv"/>
      <w:bookmarkStart w:id="2" w:name="art3xiii"/>
      <w:bookmarkEnd w:id="1"/>
      <w:bookmarkEnd w:id="2"/>
      <w:r>
        <w:rPr>
          <w:rFonts w:ascii="Arial" w:hAnsi="Arial" w:cs="Arial"/>
          <w:color w:val="000000"/>
          <w:sz w:val="24"/>
          <w:szCs w:val="24"/>
        </w:rPr>
        <w:t>“</w:t>
      </w:r>
      <w:r w:rsidRPr="005E4B04">
        <w:rPr>
          <w:rFonts w:ascii="Arial" w:hAnsi="Arial" w:cs="Arial"/>
          <w:color w:val="000000"/>
          <w:sz w:val="24"/>
          <w:szCs w:val="24"/>
        </w:rPr>
        <w:t>XIII - manguezal: ecossistema litorâneo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E4B04">
        <w:rPr>
          <w:rFonts w:ascii="Arial" w:hAnsi="Arial" w:cs="Arial"/>
          <w:color w:val="000000"/>
          <w:sz w:val="24"/>
          <w:szCs w:val="24"/>
        </w:rPr>
        <w:t>que ocorre em terrenos baixos, sujeitos à ação das marés, formado por vasas lodosas recentes ou arenosas,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57DA0">
        <w:rPr>
          <w:rFonts w:ascii="Arial" w:hAnsi="Arial" w:cs="Arial"/>
          <w:color w:val="000000"/>
          <w:sz w:val="24"/>
          <w:szCs w:val="24"/>
        </w:rPr>
        <w:t>às quais se associa, predominantemente, a vegetação natural conhecida como mangue</w:t>
      </w:r>
      <w:r>
        <w:rPr>
          <w:rFonts w:ascii="Arial" w:hAnsi="Arial" w:cs="Arial"/>
          <w:color w:val="000000"/>
          <w:sz w:val="24"/>
          <w:szCs w:val="24"/>
        </w:rPr>
        <w:t>,</w:t>
      </w:r>
      <w:r w:rsidRPr="005E4B04">
        <w:rPr>
          <w:rFonts w:ascii="Arial" w:hAnsi="Arial" w:cs="Arial"/>
          <w:color w:val="000000"/>
          <w:sz w:val="24"/>
          <w:szCs w:val="24"/>
        </w:rPr>
        <w:t xml:space="preserve"> com influência </w:t>
      </w:r>
      <w:proofErr w:type="spellStart"/>
      <w:r w:rsidRPr="005E4B04">
        <w:rPr>
          <w:rFonts w:ascii="Arial" w:hAnsi="Arial" w:cs="Arial"/>
          <w:color w:val="000000"/>
          <w:sz w:val="24"/>
          <w:szCs w:val="24"/>
        </w:rPr>
        <w:t>fluviomarinha</w:t>
      </w:r>
      <w:proofErr w:type="spellEnd"/>
      <w:r w:rsidRPr="005E4B04">
        <w:rPr>
          <w:rFonts w:ascii="Arial" w:hAnsi="Arial" w:cs="Arial"/>
          <w:color w:val="000000"/>
          <w:sz w:val="24"/>
          <w:szCs w:val="24"/>
        </w:rPr>
        <w:t>, típica de solos limosos de regiões estuarinas e com dispersão descontínua ao longo da costa brasileira, entre os Estad</w:t>
      </w:r>
      <w:r>
        <w:rPr>
          <w:rFonts w:ascii="Arial" w:hAnsi="Arial" w:cs="Arial"/>
          <w:color w:val="000000"/>
          <w:sz w:val="24"/>
          <w:szCs w:val="24"/>
        </w:rPr>
        <w:t>os do Amapá e de Santa Catarina; contando com diferentes feições:</w:t>
      </w:r>
    </w:p>
    <w:p w:rsidR="0066084A" w:rsidRDefault="0066084A" w:rsidP="008D2582">
      <w:pPr>
        <w:spacing w:before="240" w:after="240" w:line="400" w:lineRule="exact"/>
        <w:ind w:left="1134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a) </w:t>
      </w:r>
      <w:r w:rsidR="005413BC">
        <w:rPr>
          <w:rFonts w:ascii="Arial" w:hAnsi="Arial" w:cs="Arial"/>
          <w:color w:val="000000"/>
          <w:sz w:val="24"/>
          <w:szCs w:val="24"/>
        </w:rPr>
        <w:t>lavado</w:t>
      </w:r>
      <w:r>
        <w:rPr>
          <w:rFonts w:ascii="Arial" w:hAnsi="Arial" w:cs="Arial"/>
          <w:color w:val="000000"/>
          <w:sz w:val="24"/>
          <w:szCs w:val="24"/>
        </w:rPr>
        <w:t xml:space="preserve">, que ocorre na </w:t>
      </w:r>
      <w:r w:rsidRPr="00957DA0">
        <w:rPr>
          <w:rFonts w:ascii="Arial" w:hAnsi="Arial" w:cs="Arial"/>
          <w:color w:val="000000"/>
          <w:sz w:val="24"/>
          <w:szCs w:val="24"/>
        </w:rPr>
        <w:t>porção frontal junto aos cu</w:t>
      </w:r>
      <w:r>
        <w:rPr>
          <w:rFonts w:ascii="Arial" w:hAnsi="Arial" w:cs="Arial"/>
          <w:color w:val="000000"/>
          <w:sz w:val="24"/>
          <w:szCs w:val="24"/>
        </w:rPr>
        <w:t>rsos d'água;</w:t>
      </w:r>
    </w:p>
    <w:p w:rsidR="0066084A" w:rsidRDefault="0066084A" w:rsidP="008D2582">
      <w:pPr>
        <w:spacing w:before="240" w:after="240" w:line="400" w:lineRule="exact"/>
        <w:ind w:left="1134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b) bosque de mangue, referente à </w:t>
      </w:r>
      <w:r w:rsidRPr="00957DA0">
        <w:rPr>
          <w:rFonts w:ascii="Arial" w:hAnsi="Arial" w:cs="Arial"/>
          <w:color w:val="000000"/>
          <w:sz w:val="24"/>
          <w:szCs w:val="24"/>
        </w:rPr>
        <w:t>cobertura vegetal</w:t>
      </w:r>
      <w:r>
        <w:rPr>
          <w:rFonts w:ascii="Arial" w:hAnsi="Arial" w:cs="Arial"/>
          <w:color w:val="000000"/>
          <w:sz w:val="24"/>
          <w:szCs w:val="24"/>
        </w:rPr>
        <w:t xml:space="preserve"> com predomínio de espécies lenhosas típicas; </w:t>
      </w:r>
      <w:r w:rsidRPr="00957DA0">
        <w:rPr>
          <w:rFonts w:ascii="Arial" w:hAnsi="Arial" w:cs="Arial"/>
          <w:color w:val="000000"/>
          <w:sz w:val="24"/>
          <w:szCs w:val="24"/>
        </w:rPr>
        <w:t>e</w:t>
      </w:r>
      <w:r>
        <w:rPr>
          <w:rFonts w:ascii="Arial" w:hAnsi="Arial" w:cs="Arial"/>
          <w:color w:val="000000"/>
          <w:sz w:val="24"/>
          <w:szCs w:val="24"/>
        </w:rPr>
        <w:t>,</w:t>
      </w:r>
    </w:p>
    <w:p w:rsidR="0066084A" w:rsidRPr="00957DA0" w:rsidRDefault="0066084A" w:rsidP="008D2582">
      <w:pPr>
        <w:spacing w:before="240" w:after="240" w:line="400" w:lineRule="exact"/>
        <w:ind w:left="1134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c) </w:t>
      </w:r>
      <w:r w:rsidRPr="00957DA0">
        <w:rPr>
          <w:rFonts w:ascii="Arial" w:hAnsi="Arial" w:cs="Arial"/>
          <w:color w:val="000000"/>
          <w:sz w:val="24"/>
          <w:szCs w:val="24"/>
        </w:rPr>
        <w:t>apicum, salgado ou planície hipersalina</w:t>
      </w:r>
      <w:r>
        <w:rPr>
          <w:rFonts w:ascii="Arial" w:hAnsi="Arial" w:cs="Arial"/>
          <w:color w:val="000000"/>
          <w:sz w:val="24"/>
          <w:szCs w:val="24"/>
        </w:rPr>
        <w:t xml:space="preserve">, que embora nem sempre presente, é vinculado à ocorrência de manguezal, sendo desprovido de </w:t>
      </w:r>
      <w:r w:rsidRPr="00957DA0">
        <w:rPr>
          <w:rFonts w:ascii="Arial" w:hAnsi="Arial" w:cs="Arial"/>
          <w:color w:val="000000"/>
          <w:sz w:val="24"/>
          <w:szCs w:val="24"/>
        </w:rPr>
        <w:t xml:space="preserve">cobertura </w:t>
      </w:r>
      <w:r>
        <w:rPr>
          <w:rFonts w:ascii="Arial" w:hAnsi="Arial" w:cs="Arial"/>
          <w:color w:val="000000"/>
          <w:sz w:val="24"/>
          <w:szCs w:val="24"/>
        </w:rPr>
        <w:t xml:space="preserve">de espécies lenhosas, podendo se </w:t>
      </w:r>
      <w:r w:rsidRPr="005E4B04">
        <w:rPr>
          <w:rFonts w:ascii="Arial" w:hAnsi="Arial" w:cs="Arial"/>
          <w:color w:val="000000"/>
          <w:sz w:val="24"/>
          <w:szCs w:val="24"/>
        </w:rPr>
        <w:t>situa</w:t>
      </w:r>
      <w:r>
        <w:rPr>
          <w:rFonts w:ascii="Arial" w:hAnsi="Arial" w:cs="Arial"/>
          <w:color w:val="000000"/>
          <w:sz w:val="24"/>
          <w:szCs w:val="24"/>
        </w:rPr>
        <w:t>r</w:t>
      </w:r>
      <w:r w:rsidRPr="005E4B04">
        <w:rPr>
          <w:rFonts w:ascii="Arial" w:hAnsi="Arial" w:cs="Arial"/>
          <w:color w:val="000000"/>
          <w:sz w:val="24"/>
          <w:szCs w:val="24"/>
        </w:rPr>
        <w:t xml:space="preserve"> em regiões com frequências de </w:t>
      </w:r>
      <w:r w:rsidRPr="005E4B04">
        <w:rPr>
          <w:rFonts w:ascii="Arial" w:hAnsi="Arial" w:cs="Arial"/>
          <w:color w:val="000000"/>
          <w:sz w:val="24"/>
          <w:szCs w:val="24"/>
        </w:rPr>
        <w:lastRenderedPageBreak/>
        <w:t>inundações intermediárias entre marés de sizígias e de quadratura</w:t>
      </w:r>
      <w:r>
        <w:rPr>
          <w:rFonts w:ascii="Arial" w:hAnsi="Arial" w:cs="Arial"/>
          <w:color w:val="000000"/>
          <w:sz w:val="24"/>
          <w:szCs w:val="24"/>
        </w:rPr>
        <w:t xml:space="preserve">, assim como em </w:t>
      </w:r>
      <w:r w:rsidRPr="005E4B04">
        <w:rPr>
          <w:rFonts w:ascii="Arial" w:hAnsi="Arial" w:cs="Arial"/>
          <w:color w:val="000000"/>
          <w:sz w:val="24"/>
          <w:szCs w:val="24"/>
        </w:rPr>
        <w:t xml:space="preserve">regiões </w:t>
      </w:r>
      <w:proofErr w:type="spellStart"/>
      <w:r w:rsidRPr="005E4B04">
        <w:rPr>
          <w:rFonts w:ascii="Arial" w:hAnsi="Arial" w:cs="Arial"/>
          <w:color w:val="000000"/>
          <w:sz w:val="24"/>
          <w:szCs w:val="24"/>
        </w:rPr>
        <w:t>entremarés</w:t>
      </w:r>
      <w:proofErr w:type="spellEnd"/>
      <w:r w:rsidRPr="005E4B04">
        <w:rPr>
          <w:rFonts w:ascii="Arial" w:hAnsi="Arial" w:cs="Arial"/>
          <w:color w:val="000000"/>
          <w:sz w:val="24"/>
          <w:szCs w:val="24"/>
        </w:rPr>
        <w:t xml:space="preserve"> superiores, inundadas apenas pelas marés de </w:t>
      </w:r>
      <w:proofErr w:type="gramStart"/>
      <w:r w:rsidRPr="005E4B04">
        <w:rPr>
          <w:rFonts w:ascii="Arial" w:hAnsi="Arial" w:cs="Arial"/>
          <w:color w:val="000000"/>
          <w:sz w:val="24"/>
          <w:szCs w:val="24"/>
        </w:rPr>
        <w:t>sizígias</w:t>
      </w:r>
      <w:r>
        <w:rPr>
          <w:rFonts w:ascii="Arial" w:hAnsi="Arial" w:cs="Arial"/>
          <w:color w:val="000000"/>
          <w:sz w:val="24"/>
          <w:szCs w:val="24"/>
        </w:rPr>
        <w:t>.”</w:t>
      </w:r>
      <w:proofErr w:type="gramEnd"/>
    </w:p>
    <w:p w:rsidR="0066084A" w:rsidRPr="004E30D7" w:rsidRDefault="0066084A" w:rsidP="008D2582">
      <w:pPr>
        <w:spacing w:before="240" w:after="240" w:line="400" w:lineRule="exact"/>
        <w:ind w:firstLine="1134"/>
        <w:rPr>
          <w:rFonts w:ascii="Arial" w:hAnsi="Arial" w:cs="Arial"/>
          <w:sz w:val="24"/>
          <w:szCs w:val="24"/>
        </w:rPr>
      </w:pPr>
      <w:bookmarkStart w:id="3" w:name="art3xv"/>
      <w:bookmarkEnd w:id="3"/>
      <w:r w:rsidRPr="004E30D7">
        <w:rPr>
          <w:rFonts w:ascii="Arial" w:hAnsi="Arial" w:cs="Arial"/>
          <w:color w:val="000000"/>
          <w:sz w:val="24"/>
          <w:szCs w:val="24"/>
        </w:rPr>
        <w:t>Art. 2º. Revoga</w:t>
      </w:r>
      <w:r>
        <w:rPr>
          <w:rFonts w:ascii="Arial" w:hAnsi="Arial" w:cs="Arial"/>
          <w:color w:val="000000"/>
          <w:sz w:val="24"/>
          <w:szCs w:val="24"/>
        </w:rPr>
        <w:t>m</w:t>
      </w:r>
      <w:r w:rsidRPr="004E30D7">
        <w:rPr>
          <w:rFonts w:ascii="Arial" w:hAnsi="Arial" w:cs="Arial"/>
          <w:color w:val="000000"/>
          <w:sz w:val="24"/>
          <w:szCs w:val="24"/>
        </w:rPr>
        <w:t>-se o</w:t>
      </w:r>
      <w:r>
        <w:rPr>
          <w:rFonts w:ascii="Arial" w:hAnsi="Arial" w:cs="Arial"/>
          <w:color w:val="000000"/>
          <w:sz w:val="24"/>
          <w:szCs w:val="24"/>
        </w:rPr>
        <w:t>s incisos XIV e XV do artigo 3º</w:t>
      </w:r>
      <w:r w:rsidRPr="004E30D7">
        <w:rPr>
          <w:rFonts w:ascii="Arial" w:hAnsi="Arial" w:cs="Arial"/>
          <w:color w:val="000000"/>
          <w:sz w:val="24"/>
          <w:szCs w:val="24"/>
        </w:rPr>
        <w:t xml:space="preserve">, da Lei n.º </w:t>
      </w:r>
      <w:r w:rsidRPr="004E30D7">
        <w:rPr>
          <w:rFonts w:ascii="Arial" w:hAnsi="Arial" w:cs="Arial"/>
          <w:sz w:val="24"/>
          <w:szCs w:val="24"/>
        </w:rPr>
        <w:t>12.651, de 25 de maio de 2012</w:t>
      </w:r>
      <w:r w:rsidRPr="004E30D7">
        <w:rPr>
          <w:rFonts w:ascii="Arial" w:hAnsi="Arial" w:cs="Arial"/>
          <w:color w:val="000000"/>
          <w:sz w:val="24"/>
          <w:szCs w:val="24"/>
        </w:rPr>
        <w:t xml:space="preserve">, </w:t>
      </w:r>
      <w:r w:rsidRPr="004E30D7">
        <w:rPr>
          <w:rFonts w:ascii="Arial" w:hAnsi="Arial" w:cs="Arial"/>
          <w:sz w:val="24"/>
          <w:szCs w:val="24"/>
        </w:rPr>
        <w:t>que dispõe sobre a proteção da vegetação nativa.</w:t>
      </w:r>
    </w:p>
    <w:p w:rsidR="0066084A" w:rsidRPr="0066084A" w:rsidRDefault="0066084A" w:rsidP="008D2582">
      <w:pPr>
        <w:spacing w:before="240" w:after="240" w:line="40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66084A">
        <w:rPr>
          <w:rFonts w:ascii="Arial" w:hAnsi="Arial" w:cs="Arial"/>
          <w:sz w:val="24"/>
          <w:szCs w:val="24"/>
        </w:rPr>
        <w:t>Art. 3º. Revoga-se o Art. 11-A, da Lei n.º 12.727, de 17 de outubro de 2012, que altera a Lei n</w:t>
      </w:r>
      <w:r w:rsidRPr="0066084A">
        <w:rPr>
          <w:rFonts w:ascii="Arial" w:hAnsi="Arial" w:cs="Arial"/>
          <w:sz w:val="24"/>
          <w:szCs w:val="24"/>
          <w:u w:val="single"/>
          <w:vertAlign w:val="superscript"/>
        </w:rPr>
        <w:t>o</w:t>
      </w:r>
      <w:r w:rsidRPr="0066084A">
        <w:rPr>
          <w:rStyle w:val="apple-converted-space"/>
          <w:rFonts w:ascii="Arial" w:hAnsi="Arial" w:cs="Arial"/>
          <w:sz w:val="24"/>
          <w:szCs w:val="24"/>
        </w:rPr>
        <w:t xml:space="preserve"> </w:t>
      </w:r>
      <w:r w:rsidRPr="0066084A">
        <w:rPr>
          <w:rFonts w:ascii="Arial" w:hAnsi="Arial" w:cs="Arial"/>
          <w:sz w:val="24"/>
          <w:szCs w:val="24"/>
        </w:rPr>
        <w:t>12.651, de 25 de maio de 2012, que dispõe sobre a proteção da vegetação nativa.</w:t>
      </w:r>
    </w:p>
    <w:p w:rsidR="0066084A" w:rsidRPr="004E30D7" w:rsidRDefault="0066084A" w:rsidP="008D2582">
      <w:pPr>
        <w:spacing w:before="240" w:after="240" w:line="400" w:lineRule="exact"/>
        <w:ind w:firstLine="1134"/>
        <w:rPr>
          <w:rFonts w:ascii="Arial" w:hAnsi="Arial" w:cs="Arial"/>
          <w:color w:val="000000"/>
          <w:sz w:val="24"/>
          <w:szCs w:val="24"/>
        </w:rPr>
      </w:pPr>
      <w:r w:rsidRPr="004E30D7">
        <w:rPr>
          <w:rFonts w:ascii="Arial" w:hAnsi="Arial" w:cs="Arial"/>
          <w:sz w:val="24"/>
          <w:szCs w:val="24"/>
        </w:rPr>
        <w:t xml:space="preserve">Art. </w:t>
      </w:r>
      <w:r>
        <w:rPr>
          <w:rFonts w:ascii="Arial" w:hAnsi="Arial" w:cs="Arial"/>
          <w:sz w:val="24"/>
          <w:szCs w:val="24"/>
        </w:rPr>
        <w:t>4</w:t>
      </w:r>
      <w:r w:rsidRPr="004E30D7">
        <w:rPr>
          <w:rFonts w:ascii="Arial" w:hAnsi="Arial" w:cs="Arial"/>
          <w:sz w:val="24"/>
          <w:szCs w:val="24"/>
        </w:rPr>
        <w:t xml:space="preserve">º. </w:t>
      </w:r>
      <w:r w:rsidRPr="004E30D7">
        <w:rPr>
          <w:rFonts w:ascii="Arial" w:hAnsi="Arial" w:cs="Arial"/>
          <w:color w:val="000000"/>
          <w:sz w:val="24"/>
          <w:szCs w:val="24"/>
        </w:rPr>
        <w:t>Esta Lei entra em vigor na data de sua publicação.</w:t>
      </w:r>
    </w:p>
    <w:p w:rsidR="0066084A" w:rsidRPr="004E30D7" w:rsidRDefault="0066084A" w:rsidP="0066084A">
      <w:pPr>
        <w:ind w:firstLine="1134"/>
        <w:rPr>
          <w:rFonts w:ascii="Arial" w:hAnsi="Arial" w:cs="Arial"/>
          <w:color w:val="000000"/>
          <w:sz w:val="24"/>
          <w:szCs w:val="24"/>
        </w:rPr>
      </w:pPr>
    </w:p>
    <w:p w:rsidR="0066084A" w:rsidRPr="001651C6" w:rsidRDefault="0066084A" w:rsidP="0066084A">
      <w:pPr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1651C6">
        <w:rPr>
          <w:rFonts w:ascii="Arial" w:hAnsi="Arial" w:cs="Arial"/>
          <w:b/>
          <w:color w:val="000000"/>
          <w:sz w:val="28"/>
          <w:szCs w:val="28"/>
        </w:rPr>
        <w:t>JUSTIFICATIVA</w:t>
      </w:r>
    </w:p>
    <w:p w:rsidR="0066084A" w:rsidRDefault="0066084A" w:rsidP="008D2582">
      <w:pPr>
        <w:spacing w:before="240" w:after="24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4E30D7">
        <w:rPr>
          <w:rFonts w:ascii="Arial" w:hAnsi="Arial" w:cs="Arial"/>
          <w:sz w:val="24"/>
          <w:szCs w:val="24"/>
        </w:rPr>
        <w:t xml:space="preserve">A Carta Magna de 1988, no § 4º do Art. 225, estabeleceu que a </w:t>
      </w:r>
      <w:r w:rsidRPr="004E30D7">
        <w:rPr>
          <w:rFonts w:ascii="Arial" w:hAnsi="Arial" w:cs="Arial"/>
          <w:b/>
          <w:sz w:val="24"/>
          <w:szCs w:val="24"/>
        </w:rPr>
        <w:t>Zona Costeira</w:t>
      </w:r>
      <w:r w:rsidRPr="004E30D7">
        <w:rPr>
          <w:rFonts w:ascii="Arial" w:hAnsi="Arial" w:cs="Arial"/>
          <w:sz w:val="24"/>
          <w:szCs w:val="24"/>
        </w:rPr>
        <w:t xml:space="preserve"> é considerada patrimônio nacional, por esse motivo, precisamos preservar esse patrimônio natural brasileiro, em favor das gerações atuais e futuras.</w:t>
      </w:r>
    </w:p>
    <w:p w:rsidR="0066084A" w:rsidRDefault="0066084A" w:rsidP="008D2582">
      <w:pPr>
        <w:spacing w:before="240" w:after="24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 seu turno, a Lei 12.651 de 25 de maio de 2012 ao estabelecer, nos incisos XIV e XV de seu artigo 3º, respectivamente, as definições de </w:t>
      </w:r>
      <w:r w:rsidRPr="00B0190C">
        <w:rPr>
          <w:rFonts w:ascii="Arial" w:hAnsi="Arial" w:cs="Arial"/>
          <w:sz w:val="24"/>
          <w:szCs w:val="24"/>
        </w:rPr>
        <w:t>salgado ou marismas tropicais hipersalinos</w:t>
      </w:r>
      <w:r>
        <w:rPr>
          <w:rFonts w:ascii="Arial" w:hAnsi="Arial" w:cs="Arial"/>
          <w:sz w:val="24"/>
          <w:szCs w:val="24"/>
        </w:rPr>
        <w:t xml:space="preserve"> e de apicum, não o fez de forma vinculada e integrada à definição de manguezal dada pelo inciso XIII do mesmo artigo, </w:t>
      </w:r>
    </w:p>
    <w:p w:rsidR="0066084A" w:rsidRDefault="0066084A" w:rsidP="008D2582">
      <w:pPr>
        <w:spacing w:before="240" w:after="24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Desta forma, foi cometido um grave equívoco científico ao se abordar feições que fazem parte do ecossistema manguezal de forma distinta e fragmentada, gerando entendimento incorreto de que os apicuns e salgados não integram o manguezal. </w:t>
      </w:r>
    </w:p>
    <w:p w:rsidR="0066084A" w:rsidRDefault="0066084A" w:rsidP="008D2582">
      <w:pPr>
        <w:spacing w:before="240" w:after="24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Como consequência deste equívoco se constata, na mesma Lei 12.651/12, a presença do artigo 11-A, que se mostra indevido e conflitante com o artigo 225 da Constituição Federal. Em face deste dispositivo </w:t>
      </w:r>
      <w:r w:rsidRPr="004E30D7">
        <w:rPr>
          <w:rFonts w:ascii="Arial" w:hAnsi="Arial" w:cs="Arial"/>
          <w:sz w:val="24"/>
          <w:szCs w:val="24"/>
        </w:rPr>
        <w:t xml:space="preserve">os apicuns e </w:t>
      </w:r>
      <w:r>
        <w:rPr>
          <w:rFonts w:ascii="Arial" w:hAnsi="Arial" w:cs="Arial"/>
          <w:sz w:val="24"/>
          <w:szCs w:val="24"/>
        </w:rPr>
        <w:t xml:space="preserve">os </w:t>
      </w:r>
      <w:r w:rsidRPr="004E30D7">
        <w:rPr>
          <w:rFonts w:ascii="Arial" w:hAnsi="Arial" w:cs="Arial"/>
          <w:sz w:val="24"/>
          <w:szCs w:val="24"/>
        </w:rPr>
        <w:t xml:space="preserve">salgados </w:t>
      </w:r>
      <w:r>
        <w:rPr>
          <w:rFonts w:ascii="Arial" w:hAnsi="Arial" w:cs="Arial"/>
          <w:sz w:val="24"/>
          <w:szCs w:val="24"/>
        </w:rPr>
        <w:t xml:space="preserve">não são contemplados pela proteção estabelecida pelo inciso VII do artigo 4º da própria Lei 12.651/ 12 (manguezais em toda a sua extensão, proteção que já era conferida pela Resolução Conama 303/02), </w:t>
      </w:r>
      <w:r w:rsidRPr="004E30D7">
        <w:rPr>
          <w:rFonts w:ascii="Arial" w:hAnsi="Arial" w:cs="Arial"/>
          <w:sz w:val="24"/>
          <w:szCs w:val="24"/>
        </w:rPr>
        <w:t>pode</w:t>
      </w:r>
      <w:r>
        <w:rPr>
          <w:rFonts w:ascii="Arial" w:hAnsi="Arial" w:cs="Arial"/>
          <w:sz w:val="24"/>
          <w:szCs w:val="24"/>
        </w:rPr>
        <w:t>ndo</w:t>
      </w:r>
      <w:r w:rsidRPr="004E30D7">
        <w:rPr>
          <w:rFonts w:ascii="Arial" w:hAnsi="Arial" w:cs="Arial"/>
          <w:sz w:val="24"/>
          <w:szCs w:val="24"/>
        </w:rPr>
        <w:t xml:space="preserve"> ser utilizados </w:t>
      </w:r>
      <w:r>
        <w:rPr>
          <w:rFonts w:ascii="Arial" w:hAnsi="Arial" w:cs="Arial"/>
          <w:sz w:val="24"/>
          <w:szCs w:val="24"/>
        </w:rPr>
        <w:t xml:space="preserve">para a prática </w:t>
      </w:r>
      <w:r w:rsidRPr="004E30D7">
        <w:rPr>
          <w:rFonts w:ascii="Arial" w:hAnsi="Arial" w:cs="Arial"/>
          <w:sz w:val="24"/>
          <w:szCs w:val="24"/>
        </w:rPr>
        <w:t xml:space="preserve">de carcinicultura, </w:t>
      </w:r>
      <w:r>
        <w:rPr>
          <w:rFonts w:ascii="Arial" w:hAnsi="Arial" w:cs="Arial"/>
          <w:sz w:val="24"/>
          <w:szCs w:val="24"/>
        </w:rPr>
        <w:t xml:space="preserve">a qual é vedada explicitamente pela Resolução Conama 312/12), exatamente por se tratar de </w:t>
      </w:r>
      <w:r w:rsidRPr="004E30D7">
        <w:rPr>
          <w:rFonts w:ascii="Arial" w:hAnsi="Arial" w:cs="Arial"/>
          <w:sz w:val="24"/>
          <w:szCs w:val="24"/>
        </w:rPr>
        <w:t>atividade que</w:t>
      </w:r>
      <w:r>
        <w:rPr>
          <w:rFonts w:ascii="Arial" w:hAnsi="Arial" w:cs="Arial"/>
          <w:sz w:val="24"/>
          <w:szCs w:val="24"/>
        </w:rPr>
        <w:t>,</w:t>
      </w:r>
      <w:r w:rsidRPr="004E30D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sabidamente, </w:t>
      </w:r>
      <w:r w:rsidRPr="004E30D7">
        <w:rPr>
          <w:rFonts w:ascii="Arial" w:hAnsi="Arial" w:cs="Arial"/>
          <w:sz w:val="24"/>
          <w:szCs w:val="24"/>
        </w:rPr>
        <w:t>mais degrada os manguezais</w:t>
      </w:r>
      <w:r>
        <w:rPr>
          <w:rFonts w:ascii="Arial" w:hAnsi="Arial" w:cs="Arial"/>
          <w:sz w:val="24"/>
          <w:szCs w:val="24"/>
        </w:rPr>
        <w:t xml:space="preserve">. </w:t>
      </w:r>
    </w:p>
    <w:p w:rsidR="0066084A" w:rsidRDefault="0066084A" w:rsidP="008D2582">
      <w:pPr>
        <w:spacing w:before="240" w:after="24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atividade de carcinicultura não se compatibiliza com a</w:t>
      </w:r>
      <w:r w:rsidRPr="004E30D7">
        <w:rPr>
          <w:rFonts w:ascii="Arial" w:hAnsi="Arial" w:cs="Arial"/>
          <w:sz w:val="24"/>
          <w:szCs w:val="24"/>
        </w:rPr>
        <w:t xml:space="preserve"> salvaguarda da integridade dos manguezais e dos processos ecológicos essenciais a eles associados, bem </w:t>
      </w:r>
      <w:r w:rsidRPr="004E30D7">
        <w:rPr>
          <w:rFonts w:ascii="Arial" w:hAnsi="Arial" w:cs="Arial"/>
          <w:sz w:val="24"/>
          <w:szCs w:val="24"/>
        </w:rPr>
        <w:lastRenderedPageBreak/>
        <w:t>c</w:t>
      </w:r>
      <w:r>
        <w:rPr>
          <w:rFonts w:ascii="Arial" w:hAnsi="Arial" w:cs="Arial"/>
          <w:sz w:val="24"/>
          <w:szCs w:val="24"/>
        </w:rPr>
        <w:t xml:space="preserve">omo </w:t>
      </w:r>
      <w:r w:rsidRPr="004E30D7">
        <w:rPr>
          <w:rFonts w:ascii="Arial" w:hAnsi="Arial" w:cs="Arial"/>
          <w:sz w:val="24"/>
          <w:szCs w:val="24"/>
        </w:rPr>
        <w:t>o da sua produtividade biológica e condição de berçário de recursos</w:t>
      </w:r>
      <w:r>
        <w:rPr>
          <w:rFonts w:ascii="Arial" w:hAnsi="Arial" w:cs="Arial"/>
          <w:sz w:val="24"/>
          <w:szCs w:val="24"/>
        </w:rPr>
        <w:t xml:space="preserve"> </w:t>
      </w:r>
      <w:r w:rsidRPr="004E30D7">
        <w:rPr>
          <w:rFonts w:ascii="Arial" w:hAnsi="Arial" w:cs="Arial"/>
          <w:sz w:val="24"/>
          <w:szCs w:val="24"/>
        </w:rPr>
        <w:t>pesqueiros</w:t>
      </w:r>
      <w:r>
        <w:rPr>
          <w:rFonts w:ascii="Arial" w:hAnsi="Arial" w:cs="Arial"/>
          <w:sz w:val="24"/>
          <w:szCs w:val="24"/>
        </w:rPr>
        <w:t>, entre outros de seus atributos</w:t>
      </w:r>
      <w:r w:rsidRPr="004E30D7">
        <w:rPr>
          <w:rFonts w:ascii="Arial" w:hAnsi="Arial" w:cs="Arial"/>
          <w:sz w:val="24"/>
          <w:szCs w:val="24"/>
        </w:rPr>
        <w:t xml:space="preserve">. </w:t>
      </w:r>
    </w:p>
    <w:p w:rsidR="0066084A" w:rsidRPr="004E30D7" w:rsidRDefault="0066084A" w:rsidP="008D2582">
      <w:pPr>
        <w:spacing w:before="240" w:after="24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4E30D7">
        <w:rPr>
          <w:rFonts w:ascii="Arial" w:hAnsi="Arial" w:cs="Arial"/>
          <w:sz w:val="24"/>
          <w:szCs w:val="24"/>
        </w:rPr>
        <w:t>Destaco veementemente que as áreas de apicu</w:t>
      </w:r>
      <w:r>
        <w:rPr>
          <w:rFonts w:ascii="Arial" w:hAnsi="Arial" w:cs="Arial"/>
          <w:sz w:val="24"/>
          <w:szCs w:val="24"/>
        </w:rPr>
        <w:t>m</w:t>
      </w:r>
      <w:r w:rsidRPr="004E30D7">
        <w:rPr>
          <w:rFonts w:ascii="Arial" w:hAnsi="Arial" w:cs="Arial"/>
          <w:sz w:val="24"/>
          <w:szCs w:val="24"/>
        </w:rPr>
        <w:t xml:space="preserve"> possuem ligação direta com os manguezais e devem ser entendidas como feições </w:t>
      </w:r>
      <w:r>
        <w:rPr>
          <w:rFonts w:ascii="Arial" w:hAnsi="Arial" w:cs="Arial"/>
          <w:sz w:val="24"/>
          <w:szCs w:val="24"/>
        </w:rPr>
        <w:t xml:space="preserve">indissociáveis </w:t>
      </w:r>
      <w:r w:rsidRPr="004E30D7">
        <w:rPr>
          <w:rFonts w:ascii="Arial" w:hAnsi="Arial" w:cs="Arial"/>
          <w:sz w:val="24"/>
          <w:szCs w:val="24"/>
        </w:rPr>
        <w:t>desse sistema, pois o manguezal não é formado apenas pelos bosques de mangue, mas também pelas áreas de planícies hipersalinas</w:t>
      </w:r>
      <w:r>
        <w:rPr>
          <w:rFonts w:ascii="Arial" w:hAnsi="Arial" w:cs="Arial"/>
          <w:sz w:val="24"/>
          <w:szCs w:val="24"/>
        </w:rPr>
        <w:t>, apicuns e salgados</w:t>
      </w:r>
      <w:r w:rsidRPr="004E30D7">
        <w:rPr>
          <w:rFonts w:ascii="Arial" w:hAnsi="Arial" w:cs="Arial"/>
          <w:sz w:val="24"/>
          <w:szCs w:val="24"/>
        </w:rPr>
        <w:t>.</w:t>
      </w:r>
    </w:p>
    <w:p w:rsidR="0066084A" w:rsidRPr="004E30D7" w:rsidRDefault="0066084A" w:rsidP="008D2582">
      <w:pPr>
        <w:spacing w:before="240" w:after="24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4E30D7">
        <w:rPr>
          <w:rFonts w:ascii="Arial" w:hAnsi="Arial" w:cs="Arial"/>
          <w:sz w:val="24"/>
          <w:szCs w:val="24"/>
        </w:rPr>
        <w:t xml:space="preserve">Devemos considerar que só existe apicum associado aos manguezais, </w:t>
      </w:r>
      <w:r>
        <w:rPr>
          <w:rFonts w:ascii="Arial" w:hAnsi="Arial" w:cs="Arial"/>
          <w:sz w:val="24"/>
          <w:szCs w:val="24"/>
        </w:rPr>
        <w:t>normalmente</w:t>
      </w:r>
      <w:r w:rsidRPr="004E30D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como</w:t>
      </w:r>
      <w:r w:rsidRPr="004E30D7">
        <w:rPr>
          <w:rFonts w:ascii="Arial" w:hAnsi="Arial" w:cs="Arial"/>
          <w:sz w:val="24"/>
          <w:szCs w:val="24"/>
        </w:rPr>
        <w:t xml:space="preserve"> feição mais interna desse sistema, </w:t>
      </w:r>
      <w:r>
        <w:rPr>
          <w:rFonts w:ascii="Arial" w:hAnsi="Arial" w:cs="Arial"/>
          <w:sz w:val="24"/>
          <w:szCs w:val="24"/>
        </w:rPr>
        <w:t xml:space="preserve">embora </w:t>
      </w:r>
      <w:r w:rsidRPr="004E30D7">
        <w:rPr>
          <w:rFonts w:ascii="Arial" w:hAnsi="Arial" w:cs="Arial"/>
          <w:sz w:val="24"/>
          <w:szCs w:val="24"/>
        </w:rPr>
        <w:t xml:space="preserve">também </w:t>
      </w:r>
      <w:r>
        <w:rPr>
          <w:rFonts w:ascii="Arial" w:hAnsi="Arial" w:cs="Arial"/>
          <w:sz w:val="24"/>
          <w:szCs w:val="24"/>
        </w:rPr>
        <w:t>possa aparecer</w:t>
      </w:r>
      <w:r w:rsidRPr="004E30D7">
        <w:rPr>
          <w:rFonts w:ascii="Arial" w:hAnsi="Arial" w:cs="Arial"/>
          <w:sz w:val="24"/>
          <w:szCs w:val="24"/>
        </w:rPr>
        <w:t xml:space="preserve"> no interior dos bosques. Essa feição é responsável por realizar </w:t>
      </w:r>
      <w:r>
        <w:rPr>
          <w:rFonts w:ascii="Arial" w:hAnsi="Arial" w:cs="Arial"/>
          <w:sz w:val="24"/>
          <w:szCs w:val="24"/>
        </w:rPr>
        <w:t>inúmeros</w:t>
      </w:r>
      <w:r w:rsidRPr="004E30D7">
        <w:rPr>
          <w:rFonts w:ascii="Arial" w:hAnsi="Arial" w:cs="Arial"/>
          <w:sz w:val="24"/>
          <w:szCs w:val="24"/>
        </w:rPr>
        <w:t xml:space="preserve"> ciclos biológicos do sistema manguezal, sendo fundamental para a manutenção da biodiversidade costeira.</w:t>
      </w:r>
    </w:p>
    <w:p w:rsidR="0066084A" w:rsidRPr="004E30D7" w:rsidRDefault="0066084A" w:rsidP="008D2582">
      <w:pPr>
        <w:spacing w:before="240" w:after="24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4E30D7">
        <w:rPr>
          <w:rFonts w:ascii="Arial" w:hAnsi="Arial" w:cs="Arial"/>
          <w:sz w:val="24"/>
          <w:szCs w:val="24"/>
        </w:rPr>
        <w:t xml:space="preserve">Dessa forma, </w:t>
      </w:r>
      <w:r>
        <w:rPr>
          <w:rFonts w:ascii="Arial" w:hAnsi="Arial" w:cs="Arial"/>
          <w:sz w:val="24"/>
          <w:szCs w:val="24"/>
        </w:rPr>
        <w:t xml:space="preserve">a permanência de dispositivos equivocados e permissivos no Código Florestal, ao qual se deve a proteção da vegetação nativa, terá como consequência a ocorrência de </w:t>
      </w:r>
      <w:r w:rsidRPr="004E30D7">
        <w:rPr>
          <w:rFonts w:ascii="Arial" w:hAnsi="Arial" w:cs="Arial"/>
          <w:sz w:val="24"/>
          <w:szCs w:val="24"/>
        </w:rPr>
        <w:t xml:space="preserve">danos </w:t>
      </w:r>
      <w:r>
        <w:rPr>
          <w:rFonts w:ascii="Arial" w:hAnsi="Arial" w:cs="Arial"/>
          <w:sz w:val="24"/>
          <w:szCs w:val="24"/>
        </w:rPr>
        <w:t xml:space="preserve">significativos </w:t>
      </w:r>
      <w:r w:rsidRPr="004E30D7">
        <w:rPr>
          <w:rFonts w:ascii="Arial" w:hAnsi="Arial" w:cs="Arial"/>
          <w:sz w:val="24"/>
          <w:szCs w:val="24"/>
        </w:rPr>
        <w:t>aos manguezais e a sua feição apicum, como exemplo: perda de patrimônio cultura</w:t>
      </w:r>
      <w:r>
        <w:rPr>
          <w:rFonts w:ascii="Arial" w:hAnsi="Arial" w:cs="Arial"/>
          <w:sz w:val="24"/>
          <w:szCs w:val="24"/>
        </w:rPr>
        <w:t>l</w:t>
      </w:r>
      <w:r w:rsidRPr="004E30D7">
        <w:rPr>
          <w:rFonts w:ascii="Arial" w:hAnsi="Arial" w:cs="Arial"/>
          <w:sz w:val="24"/>
          <w:szCs w:val="24"/>
        </w:rPr>
        <w:t xml:space="preserve">, diminuição da pesca, prejuízo à captação de carbono, </w:t>
      </w:r>
      <w:r>
        <w:rPr>
          <w:rFonts w:ascii="Arial" w:hAnsi="Arial" w:cs="Arial"/>
          <w:sz w:val="24"/>
          <w:szCs w:val="24"/>
        </w:rPr>
        <w:t>emissão</w:t>
      </w:r>
      <w:r w:rsidRPr="004E30D7">
        <w:rPr>
          <w:rFonts w:ascii="Arial" w:hAnsi="Arial" w:cs="Arial"/>
          <w:sz w:val="24"/>
          <w:szCs w:val="24"/>
        </w:rPr>
        <w:t xml:space="preserve"> de carbono devido à perda da cobertura vegetal, perda de habitat </w:t>
      </w:r>
      <w:r>
        <w:rPr>
          <w:rFonts w:ascii="Arial" w:hAnsi="Arial" w:cs="Arial"/>
          <w:sz w:val="24"/>
          <w:szCs w:val="24"/>
        </w:rPr>
        <w:t>natural d</w:t>
      </w:r>
      <w:r w:rsidRPr="004E30D7">
        <w:rPr>
          <w:rFonts w:ascii="Arial" w:hAnsi="Arial" w:cs="Arial"/>
          <w:sz w:val="24"/>
          <w:szCs w:val="24"/>
        </w:rPr>
        <w:t xml:space="preserve">a fauna, perda de biodiversidade, </w:t>
      </w:r>
      <w:r>
        <w:rPr>
          <w:rFonts w:ascii="Arial" w:hAnsi="Arial" w:cs="Arial"/>
          <w:sz w:val="24"/>
          <w:szCs w:val="24"/>
        </w:rPr>
        <w:t xml:space="preserve">imposição de barreiras e limites à expansão/acomodação dos manguezais em cenário de gradativa elevação do nível médio relativo do mar, </w:t>
      </w:r>
      <w:r w:rsidRPr="004E30D7">
        <w:rPr>
          <w:rFonts w:ascii="Arial" w:hAnsi="Arial" w:cs="Arial"/>
          <w:sz w:val="24"/>
          <w:szCs w:val="24"/>
        </w:rPr>
        <w:t>entre outras.</w:t>
      </w:r>
    </w:p>
    <w:p w:rsidR="0066084A" w:rsidRPr="004E30D7" w:rsidRDefault="0066084A" w:rsidP="008D2582">
      <w:pPr>
        <w:spacing w:before="240" w:after="24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Cabe lembrar que a</w:t>
      </w:r>
      <w:r w:rsidRPr="004E30D7">
        <w:rPr>
          <w:rFonts w:ascii="Arial" w:hAnsi="Arial" w:cs="Arial"/>
          <w:sz w:val="24"/>
          <w:szCs w:val="24"/>
        </w:rPr>
        <w:t>lém das citadas legislações nacionais, os manguezais, por fazerem parte das zonas úmidas, possuem proteção da sua fauna e flora e de toda sua biodiversidade nos tratados internacionais que o Brasil é signatário, tais como: Convenção de Washington (194</w:t>
      </w:r>
      <w:r>
        <w:rPr>
          <w:rFonts w:ascii="Arial" w:hAnsi="Arial" w:cs="Arial"/>
          <w:sz w:val="24"/>
          <w:szCs w:val="24"/>
        </w:rPr>
        <w:t>6</w:t>
      </w:r>
      <w:r w:rsidRPr="004E30D7">
        <w:rPr>
          <w:rFonts w:ascii="Arial" w:hAnsi="Arial" w:cs="Arial"/>
          <w:sz w:val="24"/>
          <w:szCs w:val="24"/>
        </w:rPr>
        <w:t xml:space="preserve">), Convenção </w:t>
      </w:r>
      <w:proofErr w:type="spellStart"/>
      <w:r w:rsidRPr="004E30D7">
        <w:rPr>
          <w:rFonts w:ascii="Arial" w:hAnsi="Arial" w:cs="Arial"/>
          <w:sz w:val="24"/>
          <w:szCs w:val="24"/>
        </w:rPr>
        <w:t>Ramsar</w:t>
      </w:r>
      <w:proofErr w:type="spellEnd"/>
      <w:r w:rsidRPr="004E30D7">
        <w:rPr>
          <w:rFonts w:ascii="Arial" w:hAnsi="Arial" w:cs="Arial"/>
          <w:sz w:val="24"/>
          <w:szCs w:val="24"/>
        </w:rPr>
        <w:t xml:space="preserve"> (1971), Convenção de Bonn (1979) e Convenção da Diversidade Biológica (1992).</w:t>
      </w:r>
    </w:p>
    <w:p w:rsidR="0066084A" w:rsidRPr="004E30D7" w:rsidRDefault="0066084A" w:rsidP="008D2582">
      <w:pPr>
        <w:spacing w:before="240" w:after="24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4E30D7">
        <w:rPr>
          <w:rFonts w:ascii="Arial" w:hAnsi="Arial" w:cs="Arial"/>
          <w:sz w:val="24"/>
          <w:szCs w:val="24"/>
        </w:rPr>
        <w:t xml:space="preserve">Existem ainda onze tratados e instrumentos internacionais que visam </w:t>
      </w:r>
      <w:r>
        <w:rPr>
          <w:rFonts w:ascii="Arial" w:hAnsi="Arial" w:cs="Arial"/>
          <w:sz w:val="24"/>
          <w:szCs w:val="24"/>
        </w:rPr>
        <w:t>à</w:t>
      </w:r>
      <w:r w:rsidRPr="004E30D7">
        <w:rPr>
          <w:rFonts w:ascii="Arial" w:hAnsi="Arial" w:cs="Arial"/>
          <w:sz w:val="24"/>
          <w:szCs w:val="24"/>
        </w:rPr>
        <w:t xml:space="preserve"> proteção das áreas de manguezais, sendo que alguns já estão em vigor há mais de cinquenta anos. Entretanto, esses tratados e instrumentos legais infelizmente não </w:t>
      </w:r>
      <w:r>
        <w:rPr>
          <w:rFonts w:ascii="Arial" w:hAnsi="Arial" w:cs="Arial"/>
          <w:sz w:val="24"/>
          <w:szCs w:val="24"/>
        </w:rPr>
        <w:t xml:space="preserve">têm </w:t>
      </w:r>
      <w:r w:rsidRPr="004E30D7">
        <w:rPr>
          <w:rFonts w:ascii="Arial" w:hAnsi="Arial" w:cs="Arial"/>
          <w:sz w:val="24"/>
          <w:szCs w:val="24"/>
        </w:rPr>
        <w:t>garant</w:t>
      </w:r>
      <w:r>
        <w:rPr>
          <w:rFonts w:ascii="Arial" w:hAnsi="Arial" w:cs="Arial"/>
          <w:sz w:val="24"/>
          <w:szCs w:val="24"/>
        </w:rPr>
        <w:t>ido</w:t>
      </w:r>
      <w:r w:rsidRPr="004E30D7">
        <w:rPr>
          <w:rFonts w:ascii="Arial" w:hAnsi="Arial" w:cs="Arial"/>
          <w:sz w:val="24"/>
          <w:szCs w:val="24"/>
        </w:rPr>
        <w:t xml:space="preserve"> a proteção desse ambiente.</w:t>
      </w:r>
    </w:p>
    <w:p w:rsidR="0066084A" w:rsidRPr="004E30D7" w:rsidRDefault="0066084A" w:rsidP="008D2582">
      <w:pPr>
        <w:spacing w:before="240" w:after="24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4E30D7">
        <w:rPr>
          <w:rFonts w:ascii="Arial" w:hAnsi="Arial" w:cs="Arial"/>
          <w:sz w:val="24"/>
          <w:szCs w:val="24"/>
        </w:rPr>
        <w:t>A Organização das Nações Unidas para a educação, a ciência e a cultura – UNESCO, por meio do Programa das Nações Unidas para o Meio Ambiente – PNUMA – recomenda que no estabelecimento de uma unidade de preservação de mang</w:t>
      </w:r>
      <w:r w:rsidRPr="008D2582">
        <w:rPr>
          <w:rFonts w:ascii="Arial" w:hAnsi="Arial" w:cs="Arial"/>
          <w:sz w:val="24"/>
          <w:szCs w:val="24"/>
        </w:rPr>
        <w:t>ue</w:t>
      </w:r>
      <w:r w:rsidRPr="004E30D7">
        <w:rPr>
          <w:rFonts w:ascii="Arial" w:hAnsi="Arial" w:cs="Arial"/>
          <w:sz w:val="24"/>
          <w:szCs w:val="24"/>
        </w:rPr>
        <w:t>zais, sejam feitas demarcações de uma zona central e a delimitação de zonas tampão ao redor dos manguezais, abrigando dessa forma as áreas de apicum.</w:t>
      </w:r>
    </w:p>
    <w:p w:rsidR="0066084A" w:rsidRPr="004E30D7" w:rsidRDefault="0066084A" w:rsidP="008D2582">
      <w:pPr>
        <w:spacing w:before="240" w:after="24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4E30D7">
        <w:rPr>
          <w:rFonts w:ascii="Arial" w:hAnsi="Arial" w:cs="Arial"/>
          <w:sz w:val="24"/>
          <w:szCs w:val="24"/>
        </w:rPr>
        <w:t>Para a</w:t>
      </w:r>
      <w:r>
        <w:rPr>
          <w:rFonts w:ascii="Arial" w:hAnsi="Arial" w:cs="Arial"/>
          <w:sz w:val="24"/>
          <w:szCs w:val="24"/>
        </w:rPr>
        <w:t xml:space="preserve"> UNESCO</w:t>
      </w:r>
      <w:r w:rsidRPr="004E30D7">
        <w:rPr>
          <w:rFonts w:ascii="Arial" w:hAnsi="Arial" w:cs="Arial"/>
          <w:sz w:val="24"/>
          <w:szCs w:val="24"/>
        </w:rPr>
        <w:t xml:space="preserve"> a categoria de “Reserva </w:t>
      </w:r>
      <w:r w:rsidRPr="008D2582">
        <w:rPr>
          <w:rFonts w:ascii="Arial" w:hAnsi="Arial" w:cs="Arial"/>
          <w:sz w:val="24"/>
          <w:szCs w:val="24"/>
        </w:rPr>
        <w:t xml:space="preserve">da Biosfera” se enquadra </w:t>
      </w:r>
      <w:r w:rsidRPr="004E30D7">
        <w:rPr>
          <w:rFonts w:ascii="Arial" w:hAnsi="Arial" w:cs="Arial"/>
          <w:sz w:val="24"/>
          <w:szCs w:val="24"/>
        </w:rPr>
        <w:t xml:space="preserve">na conservação de áreas de manguezais, visto que determina a existência de uma zona </w:t>
      </w:r>
      <w:r w:rsidRPr="004E30D7">
        <w:rPr>
          <w:rFonts w:ascii="Arial" w:hAnsi="Arial" w:cs="Arial"/>
          <w:sz w:val="24"/>
          <w:szCs w:val="24"/>
        </w:rPr>
        <w:lastRenderedPageBreak/>
        <w:t>central de preservação permanente e zonas tampão ao redor com atividades antrópicas controladas.</w:t>
      </w:r>
    </w:p>
    <w:p w:rsidR="0066084A" w:rsidRPr="004E30D7" w:rsidRDefault="0066084A" w:rsidP="008D2582">
      <w:pPr>
        <w:spacing w:before="240" w:after="24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4E30D7">
        <w:rPr>
          <w:rFonts w:ascii="Arial" w:hAnsi="Arial" w:cs="Arial"/>
          <w:sz w:val="24"/>
          <w:szCs w:val="24"/>
        </w:rPr>
        <w:t xml:space="preserve">Cito </w:t>
      </w:r>
      <w:r>
        <w:rPr>
          <w:rFonts w:ascii="Arial" w:hAnsi="Arial" w:cs="Arial"/>
          <w:sz w:val="24"/>
          <w:szCs w:val="24"/>
        </w:rPr>
        <w:t xml:space="preserve">Ariel E. </w:t>
      </w:r>
      <w:proofErr w:type="spellStart"/>
      <w:r w:rsidRPr="004E30D7">
        <w:rPr>
          <w:rFonts w:ascii="Arial" w:hAnsi="Arial" w:cs="Arial"/>
          <w:sz w:val="24"/>
          <w:szCs w:val="24"/>
        </w:rPr>
        <w:t>Lugo</w:t>
      </w:r>
      <w:proofErr w:type="spellEnd"/>
      <w:r w:rsidRPr="004E30D7">
        <w:rPr>
          <w:rFonts w:ascii="Arial" w:hAnsi="Arial" w:cs="Arial"/>
          <w:sz w:val="24"/>
          <w:szCs w:val="24"/>
        </w:rPr>
        <w:t xml:space="preserve"> (2002), </w:t>
      </w:r>
      <w:r>
        <w:rPr>
          <w:rFonts w:ascii="Arial" w:hAnsi="Arial" w:cs="Arial"/>
          <w:sz w:val="24"/>
          <w:szCs w:val="24"/>
        </w:rPr>
        <w:t xml:space="preserve">eminente ecólogo, </w:t>
      </w:r>
      <w:r w:rsidRPr="004E30D7">
        <w:rPr>
          <w:rFonts w:ascii="Arial" w:hAnsi="Arial" w:cs="Arial"/>
          <w:sz w:val="24"/>
          <w:szCs w:val="24"/>
        </w:rPr>
        <w:t>que propôs algumas estratégias de conservação para os manguezais que incluem: manter as fontes naturais de águas doces e o regime hídrico original; evitar a instalação de estradas, diques e demais infraestruturas que alterem ou interrompam o fluxo de água nos bosques de mangue; preservar locais para expansão dos manguezais; preservar as dunas, cordões arenosos, recifes de corais, que protegem os manguezais da ação erosiva das ondas; evitar a modificação das formas de relevo que sustentam os manguezais, assim como evitar o excesso de sedimentação</w:t>
      </w:r>
      <w:r>
        <w:rPr>
          <w:rFonts w:ascii="Arial" w:hAnsi="Arial" w:cs="Arial"/>
          <w:sz w:val="24"/>
          <w:szCs w:val="24"/>
        </w:rPr>
        <w:t>;</w:t>
      </w:r>
      <w:r w:rsidRPr="004E30D7">
        <w:rPr>
          <w:rFonts w:ascii="Arial" w:hAnsi="Arial" w:cs="Arial"/>
          <w:sz w:val="24"/>
          <w:szCs w:val="24"/>
        </w:rPr>
        <w:t xml:space="preserve"> despejo de poluentes, petróleo, etc.</w:t>
      </w:r>
    </w:p>
    <w:p w:rsidR="0066084A" w:rsidRPr="004E30D7" w:rsidRDefault="0066084A" w:rsidP="008D2582">
      <w:pPr>
        <w:spacing w:before="240" w:after="24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 w:rsidRPr="004E30D7">
        <w:rPr>
          <w:rFonts w:ascii="Arial" w:hAnsi="Arial" w:cs="Arial"/>
          <w:sz w:val="24"/>
          <w:szCs w:val="24"/>
        </w:rPr>
        <w:t>Os bosques de mangue estão desaparecendo de forma alarmante, talvez mais rapidamente que as demais florestas tropicais interiores, sendo que parte re</w:t>
      </w:r>
      <w:r>
        <w:rPr>
          <w:rFonts w:ascii="Arial" w:hAnsi="Arial" w:cs="Arial"/>
          <w:sz w:val="24"/>
          <w:szCs w:val="24"/>
        </w:rPr>
        <w:t>manescente</w:t>
      </w:r>
      <w:r w:rsidRPr="004E30D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está</w:t>
      </w:r>
      <w:r w:rsidRPr="004E30D7">
        <w:rPr>
          <w:rFonts w:ascii="Arial" w:hAnsi="Arial" w:cs="Arial"/>
          <w:sz w:val="24"/>
          <w:szCs w:val="24"/>
        </w:rPr>
        <w:t xml:space="preserve"> degradada e </w:t>
      </w:r>
      <w:r>
        <w:rPr>
          <w:rFonts w:ascii="Arial" w:hAnsi="Arial" w:cs="Arial"/>
          <w:sz w:val="24"/>
          <w:szCs w:val="24"/>
        </w:rPr>
        <w:t xml:space="preserve">se encontra </w:t>
      </w:r>
      <w:r w:rsidRPr="004E30D7">
        <w:rPr>
          <w:rFonts w:ascii="Arial" w:hAnsi="Arial" w:cs="Arial"/>
          <w:sz w:val="24"/>
          <w:szCs w:val="24"/>
        </w:rPr>
        <w:t>desprotegida.</w:t>
      </w:r>
    </w:p>
    <w:p w:rsidR="0066084A" w:rsidRDefault="0066084A" w:rsidP="008D2582">
      <w:pPr>
        <w:spacing w:before="240" w:after="24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Pelas claras e relevantes considerações explicitadas acima, peço o apoio dos ilustres Parlamentares na aprovação deste projeto de lei.</w:t>
      </w:r>
    </w:p>
    <w:p w:rsidR="0066084A" w:rsidRDefault="0066084A" w:rsidP="008D2582">
      <w:pPr>
        <w:spacing w:before="240" w:after="240" w:line="360" w:lineRule="exact"/>
        <w:ind w:firstLine="1134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das Sessões, em 20 de maio de 2017.</w:t>
      </w:r>
    </w:p>
    <w:p w:rsidR="0066084A" w:rsidRDefault="0066084A" w:rsidP="0066084A">
      <w:pPr>
        <w:spacing w:before="120" w:after="12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</w:p>
    <w:p w:rsidR="0066084A" w:rsidRDefault="0066084A" w:rsidP="0066084A">
      <w:pPr>
        <w:spacing w:before="120" w:after="120" w:line="360" w:lineRule="exact"/>
        <w:ind w:firstLine="1134"/>
        <w:jc w:val="both"/>
        <w:rPr>
          <w:rFonts w:ascii="Arial" w:hAnsi="Arial" w:cs="Arial"/>
          <w:sz w:val="24"/>
          <w:szCs w:val="24"/>
        </w:rPr>
      </w:pPr>
    </w:p>
    <w:p w:rsidR="0066084A" w:rsidRDefault="0066084A" w:rsidP="0066084A">
      <w:pPr>
        <w:spacing w:before="120" w:after="120" w:line="360" w:lineRule="exact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Deputado Antonio Carlos Mendes Thame</w:t>
      </w:r>
    </w:p>
    <w:p w:rsidR="0066084A" w:rsidRDefault="0066084A" w:rsidP="0066084A">
      <w:pPr>
        <w:spacing w:before="120" w:after="120" w:line="360" w:lineRule="exact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PV/SP</w:t>
      </w:r>
    </w:p>
    <w:p w:rsidR="008D2582" w:rsidRPr="008D2582" w:rsidRDefault="008D2582" w:rsidP="008D2582">
      <w:pPr>
        <w:spacing w:before="120" w:after="120" w:line="360" w:lineRule="exact"/>
        <w:jc w:val="both"/>
        <w:rPr>
          <w:rFonts w:ascii="Arial" w:hAnsi="Arial" w:cs="Arial"/>
          <w:i/>
          <w:sz w:val="6"/>
          <w:szCs w:val="6"/>
        </w:rPr>
      </w:pPr>
      <w:r w:rsidRPr="008D2582">
        <w:rPr>
          <w:rFonts w:ascii="Arial" w:hAnsi="Arial" w:cs="Arial"/>
          <w:i/>
          <w:sz w:val="6"/>
          <w:szCs w:val="6"/>
        </w:rPr>
        <w:t>RSF/YSN</w:t>
      </w:r>
    </w:p>
    <w:sectPr w:rsidR="008D2582" w:rsidRPr="008D2582" w:rsidSect="00D9266C">
      <w:headerReference w:type="default" r:id="rId6"/>
      <w:pgSz w:w="11906" w:h="16838"/>
      <w:pgMar w:top="709" w:right="1133" w:bottom="426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752D" w:rsidRDefault="00D9266C">
      <w:pPr>
        <w:spacing w:after="0" w:line="240" w:lineRule="auto"/>
      </w:pPr>
      <w:r>
        <w:separator/>
      </w:r>
    </w:p>
  </w:endnote>
  <w:endnote w:type="continuationSeparator" w:id="0">
    <w:p w:rsidR="0047752D" w:rsidRDefault="00D926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rlito"/>
    <w:panose1 w:val="020F050202020403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752D" w:rsidRDefault="00D9266C">
      <w:pPr>
        <w:spacing w:after="0" w:line="240" w:lineRule="auto"/>
      </w:pPr>
      <w:r>
        <w:separator/>
      </w:r>
    </w:p>
  </w:footnote>
  <w:footnote w:type="continuationSeparator" w:id="0">
    <w:p w:rsidR="0047752D" w:rsidRDefault="00D926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403" w:rsidRDefault="006274DB" w:rsidP="000C2403">
    <w:pPr>
      <w:pStyle w:val="Padro"/>
      <w:spacing w:after="0" w:line="240" w:lineRule="auto"/>
      <w:rPr>
        <w:rFonts w:ascii="Arial" w:hAnsi="Arial"/>
        <w:b/>
        <w:sz w:val="24"/>
      </w:rPr>
    </w:pPr>
    <w:r w:rsidRPr="0093504B">
      <w:rPr>
        <w:noProof/>
      </w:rPr>
      <w:drawing>
        <wp:inline distT="0" distB="0" distL="0" distR="0">
          <wp:extent cx="752475" cy="809625"/>
          <wp:effectExtent l="0" t="0" r="9525" b="9525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  <w:r>
      <w:rPr>
        <w:rFonts w:ascii="Arial" w:hAnsi="Arial"/>
        <w:b/>
        <w:sz w:val="24"/>
      </w:rPr>
      <w:t>CÂMARA DOS DEPUTADOS</w:t>
    </w:r>
  </w:p>
  <w:p w:rsidR="000C2403" w:rsidRDefault="006274DB" w:rsidP="000C2403">
    <w:pPr>
      <w:pStyle w:val="Cabealho"/>
    </w:pPr>
    <w:r>
      <w:t xml:space="preserve">                         </w:t>
    </w:r>
    <w:r w:rsidRPr="008A7392">
      <w:rPr>
        <w:sz w:val="20"/>
        <w:szCs w:val="20"/>
      </w:rPr>
      <w:t xml:space="preserve">Deputado </w:t>
    </w:r>
    <w:r>
      <w:rPr>
        <w:sz w:val="20"/>
        <w:szCs w:val="20"/>
      </w:rPr>
      <w:t>Antonio Carlos Mendes Thame</w:t>
    </w:r>
  </w:p>
  <w:p w:rsidR="000C2403" w:rsidRDefault="000F5D34" w:rsidP="000C2403">
    <w:pPr>
      <w:pStyle w:val="Cabealho"/>
    </w:pPr>
  </w:p>
  <w:p w:rsidR="000C2403" w:rsidRDefault="000F5D3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84A"/>
    <w:rsid w:val="000F5D34"/>
    <w:rsid w:val="0047752D"/>
    <w:rsid w:val="005413BC"/>
    <w:rsid w:val="005F433A"/>
    <w:rsid w:val="006274DB"/>
    <w:rsid w:val="0066084A"/>
    <w:rsid w:val="008D2582"/>
    <w:rsid w:val="00964CCB"/>
    <w:rsid w:val="00D84B82"/>
    <w:rsid w:val="00D9266C"/>
    <w:rsid w:val="00E94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DB02C2C9-FBDD-4CD4-8C49-6F74171C1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84A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608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link w:val="Cabealho"/>
    <w:uiPriority w:val="99"/>
    <w:rsid w:val="0066084A"/>
    <w:rPr>
      <w:rFonts w:ascii="Calibri" w:eastAsia="Calibri" w:hAnsi="Calibri" w:cs="Times New Roman"/>
    </w:rPr>
  </w:style>
  <w:style w:type="paragraph" w:customStyle="1" w:styleId="Padro">
    <w:name w:val="Padrão"/>
    <w:rsid w:val="0066084A"/>
    <w:pPr>
      <w:suppressAutoHyphens/>
      <w:spacing w:after="160" w:line="259" w:lineRule="auto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rsid w:val="0066084A"/>
  </w:style>
  <w:style w:type="character" w:styleId="Forte">
    <w:name w:val="Strong"/>
    <w:uiPriority w:val="22"/>
    <w:qFormat/>
    <w:rsid w:val="0066084A"/>
    <w:rPr>
      <w:b/>
      <w:bCs/>
    </w:rPr>
  </w:style>
  <w:style w:type="character" w:styleId="Hyperlink">
    <w:name w:val="Hyperlink"/>
    <w:uiPriority w:val="99"/>
    <w:semiHidden/>
    <w:unhideWhenUsed/>
    <w:rsid w:val="0066084A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D926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266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1100</Words>
  <Characters>5945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Ronaldo da Silva Farias</dc:creator>
  <cp:keywords/>
  <dc:description/>
  <cp:lastModifiedBy>Ronaldo da Silva Farias</cp:lastModifiedBy>
  <cp:revision>7</cp:revision>
  <dcterms:created xsi:type="dcterms:W3CDTF">2017-06-20T16:53:00Z</dcterms:created>
  <dcterms:modified xsi:type="dcterms:W3CDTF">2017-06-29T18:29:00Z</dcterms:modified>
</cp:coreProperties>
</file>