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513" w:rsidRPr="00C01BC7" w:rsidRDefault="00AC5513" w:rsidP="00AC5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7"/>
          <w:szCs w:val="27"/>
        </w:rPr>
      </w:pPr>
      <w:r>
        <w:rPr>
          <w:rFonts w:ascii="Arial" w:hAnsi="Arial" w:cs="Arial"/>
          <w:b/>
          <w:bCs/>
          <w:sz w:val="27"/>
          <w:szCs w:val="27"/>
        </w:rPr>
        <w:t xml:space="preserve">PROPOSTA DE EMENDA Á CONSTITUIÇÃO Nº        </w:t>
      </w:r>
      <w:r w:rsidR="00D50070">
        <w:rPr>
          <w:rFonts w:ascii="Arial" w:hAnsi="Arial" w:cs="Arial"/>
          <w:b/>
          <w:bCs/>
          <w:sz w:val="27"/>
          <w:szCs w:val="27"/>
        </w:rPr>
        <w:t>, DE 2016</w:t>
      </w:r>
      <w:bookmarkStart w:id="0" w:name="_GoBack"/>
      <w:bookmarkEnd w:id="0"/>
    </w:p>
    <w:p w:rsidR="00AC5513" w:rsidRDefault="00AC5513" w:rsidP="00AC55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7"/>
          <w:szCs w:val="27"/>
        </w:rPr>
      </w:pPr>
    </w:p>
    <w:p w:rsidR="00AC5513" w:rsidRPr="00EA69F9" w:rsidRDefault="00AC5513" w:rsidP="00AC55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AC5513" w:rsidRPr="00B43152" w:rsidRDefault="00AC5513" w:rsidP="00AC551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3152">
        <w:rPr>
          <w:rFonts w:ascii="Arial" w:hAnsi="Arial" w:cs="Arial"/>
          <w:b/>
          <w:sz w:val="24"/>
          <w:szCs w:val="24"/>
        </w:rPr>
        <w:t xml:space="preserve">(Do Sr. </w:t>
      </w:r>
      <w:r>
        <w:rPr>
          <w:rFonts w:ascii="Arial" w:hAnsi="Arial" w:cs="Arial"/>
          <w:b/>
          <w:sz w:val="24"/>
          <w:szCs w:val="24"/>
        </w:rPr>
        <w:t>Goulart</w:t>
      </w:r>
      <w:r w:rsidR="00EB0675">
        <w:rPr>
          <w:rFonts w:ascii="Arial" w:hAnsi="Arial" w:cs="Arial"/>
          <w:b/>
          <w:sz w:val="24"/>
          <w:szCs w:val="24"/>
        </w:rPr>
        <w:t xml:space="preserve"> e outros</w:t>
      </w:r>
      <w:r w:rsidRPr="00B43152">
        <w:rPr>
          <w:rFonts w:ascii="Arial" w:hAnsi="Arial" w:cs="Arial"/>
          <w:b/>
          <w:sz w:val="24"/>
          <w:szCs w:val="24"/>
        </w:rPr>
        <w:t>)</w:t>
      </w:r>
    </w:p>
    <w:p w:rsidR="00AC5513" w:rsidRDefault="00AC5513" w:rsidP="00AC5513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sz w:val="24"/>
          <w:szCs w:val="24"/>
        </w:rPr>
      </w:pPr>
    </w:p>
    <w:p w:rsidR="00AC5513" w:rsidRPr="00EA69F9" w:rsidRDefault="00AC5513" w:rsidP="00AC5513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Dá nova redação aos artigos 49, 84 e 128 da Constituição Federal, dispondo sobre a organização do Ministério Público Nacional e a eleição de seus Procuradores Gerais. 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firstLine="1134"/>
        <w:rPr>
          <w:rFonts w:ascii="Arial" w:hAnsi="Arial" w:cs="Arial"/>
          <w:sz w:val="24"/>
          <w:szCs w:val="24"/>
        </w:rPr>
      </w:pP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Mesas da Câmara dos Deputados e do Senado Federal</w:t>
      </w:r>
      <w:r w:rsidRPr="006D676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nos termos do art. 60 da Constituição Federal, promulgam a seguinte emenda ao texto constitucional: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1º Acresce o inciso XVIII ao artigo 49 da Constituição Federal, com a seguinte redação: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“Art. 49. .................................................................................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..............................................................................................”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XVIII – aprovar previamente, por voto secreto, após arguição pública, a escolha do Procurador-Geral da República.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2º O artigo 84, inciso XIV, da Constituição Federal, passa a vigorar com a seguinte redação: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“Art. 84...................................................................................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XIV – nomear, após aprovação pelo Senado Federal, os Ministros do Supremo Tribunal Federal e dos Tribunais Superiores, os Governadores de Territórios, o Procurador-Geral da República, Procurador-Geral Federal, o Procurador-Geral do Trabalho, o Procurador-Geral Militar, o Procurador-Geral do Distrito Federal e Territórios e o Procurador-Geral, o presidente e os diretores do Banco </w:t>
      </w:r>
      <w:r>
        <w:rPr>
          <w:rFonts w:ascii="Arial" w:hAnsi="Arial" w:cs="Arial"/>
          <w:sz w:val="24"/>
          <w:szCs w:val="24"/>
        </w:rPr>
        <w:lastRenderedPageBreak/>
        <w:t xml:space="preserve">Central e outros servidores, quando determinado em </w:t>
      </w:r>
      <w:r w:rsidR="004E1713">
        <w:rPr>
          <w:rFonts w:ascii="Arial" w:hAnsi="Arial" w:cs="Arial"/>
          <w:sz w:val="24"/>
          <w:szCs w:val="24"/>
        </w:rPr>
        <w:t>lei; ”</w:t>
      </w:r>
      <w:r>
        <w:rPr>
          <w:rFonts w:ascii="Arial" w:hAnsi="Arial" w:cs="Arial"/>
          <w:sz w:val="24"/>
          <w:szCs w:val="24"/>
        </w:rPr>
        <w:t xml:space="preserve"> (NR)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3º O artigo 128 da Constituição Federal passa a vigorar com as seguintes modificações e acréscimos: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“Art. 128. O Ministério Público Nacional abrange: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jc w:val="both"/>
        <w:rPr>
          <w:rFonts w:ascii="Arial" w:hAnsi="Arial" w:cs="Arial"/>
          <w:sz w:val="24"/>
          <w:szCs w:val="24"/>
        </w:rPr>
      </w:pP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O Ministério Público da União, que compreende:</w:t>
      </w:r>
    </w:p>
    <w:p w:rsidR="00AC5513" w:rsidRDefault="00AC5513" w:rsidP="00AC551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Ministério Público Federal;</w:t>
      </w:r>
    </w:p>
    <w:p w:rsidR="00AC5513" w:rsidRDefault="00AC5513" w:rsidP="00AC551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Ministério Público do Trabalho;</w:t>
      </w:r>
    </w:p>
    <w:p w:rsidR="00AC5513" w:rsidRDefault="00AC5513" w:rsidP="00AC551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Ministério Público Militar;</w:t>
      </w:r>
    </w:p>
    <w:p w:rsidR="00AC5513" w:rsidRDefault="00AC5513" w:rsidP="00AC551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Ministério Público do Distrito Federal e Territórios;</w:t>
      </w:r>
    </w:p>
    <w:p w:rsidR="00AC5513" w:rsidRDefault="00AC5513" w:rsidP="00AC5513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Ministério Público de Contas da União.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O Ministério Público dos Estados, que compreende:</w:t>
      </w:r>
    </w:p>
    <w:p w:rsidR="00AC5513" w:rsidRDefault="00AC5513" w:rsidP="00AC5513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Ministério Público Estadual;</w:t>
      </w:r>
    </w:p>
    <w:p w:rsidR="00AC5513" w:rsidRDefault="00AC5513" w:rsidP="00AC5513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Ministério Público de Contas dos Estados;</w:t>
      </w:r>
    </w:p>
    <w:p w:rsidR="00AC5513" w:rsidRDefault="00AC5513" w:rsidP="00AC5513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Ministério Público de Contas dos Municípios.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§1º O Ministério Público Nacional tem por chefe o Procurador-Geral da República, com mais de dez anos de efetivo exercício numa das carreiras mencionadas nos incisos I e II supra, e com mais de trinta e cinco anos de idade, que será eleito por todos os membros vitalícios do Ministério Público brasileiro, em voto </w:t>
      </w:r>
      <w:proofErr w:type="spellStart"/>
      <w:r>
        <w:rPr>
          <w:rFonts w:ascii="Arial" w:hAnsi="Arial" w:cs="Arial"/>
          <w:sz w:val="24"/>
          <w:szCs w:val="24"/>
        </w:rPr>
        <w:t>uninominal</w:t>
      </w:r>
      <w:proofErr w:type="spellEnd"/>
      <w:r>
        <w:rPr>
          <w:rFonts w:ascii="Arial" w:hAnsi="Arial" w:cs="Arial"/>
          <w:sz w:val="24"/>
          <w:szCs w:val="24"/>
        </w:rPr>
        <w:t xml:space="preserve"> e obrigatório, para mandato de dois anos, vedada a recondução.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O Procurador-Geral da República será sabatinado por comissão especial do Congresso Nacional, que deverá aprova-lo por maioria absoluta, em sessão unicameral, no prazo de quinze dias a contar da eleição, com nomeação automática em seu decurso.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II – A eleição do Procurador-Geral da República será organizada pelo Conselho Nacional do Ministério Público.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§2º O Procurador-Geral Federal, O Procurador-Geral do Trabalho, o Procurador-Geral Militar, o Procurador-Geral do Distrito Federal e Territórios e o Procurador-Geral de Contas da União, com mais de dez anos de efetivo exercício e de trinta e cinco anos de idade, serão eleitos pelos membros vitalícios dos respectivos ramos para mandato de dois anos, vedada a recondução, em voto </w:t>
      </w:r>
      <w:proofErr w:type="spellStart"/>
      <w:r>
        <w:rPr>
          <w:rFonts w:ascii="Arial" w:hAnsi="Arial" w:cs="Arial"/>
          <w:sz w:val="24"/>
          <w:szCs w:val="24"/>
        </w:rPr>
        <w:t>uninominal</w:t>
      </w:r>
      <w:proofErr w:type="spellEnd"/>
      <w:r>
        <w:rPr>
          <w:rFonts w:ascii="Arial" w:hAnsi="Arial" w:cs="Arial"/>
          <w:sz w:val="24"/>
          <w:szCs w:val="24"/>
        </w:rPr>
        <w:t xml:space="preserve"> e obrigatório, submetidos à sabatina pelo Senado Federal, que deverá aprová-los por maioria absoluta no prazo de quinze dias a contar da eleição, com nomeação automática em seu decurso.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§3º Os Procuradores-Gerais de Justiça nos Estados, os Procuradores-Gerais de Contas nos Estados e os Procuradores-Gerais de Contas nos Municípios onde organizados os Tribunais de Contas, com mais de dez anos de efetivo exercício e de trinta e cinco anos de idade, serão eleitos pelos membros vitalícios de seus ramos para mandato de dois anos, vedada a recondução, em voto </w:t>
      </w:r>
      <w:proofErr w:type="spellStart"/>
      <w:r>
        <w:rPr>
          <w:rFonts w:ascii="Arial" w:hAnsi="Arial" w:cs="Arial"/>
          <w:sz w:val="24"/>
          <w:szCs w:val="24"/>
        </w:rPr>
        <w:t>uninominal</w:t>
      </w:r>
      <w:proofErr w:type="spellEnd"/>
      <w:r>
        <w:rPr>
          <w:rFonts w:ascii="Arial" w:hAnsi="Arial" w:cs="Arial"/>
          <w:sz w:val="24"/>
          <w:szCs w:val="24"/>
        </w:rPr>
        <w:t xml:space="preserve"> e obrigatório, submetidos à sabatina pela </w:t>
      </w:r>
      <w:proofErr w:type="spellStart"/>
      <w:r>
        <w:rPr>
          <w:rFonts w:ascii="Arial" w:hAnsi="Arial" w:cs="Arial"/>
          <w:sz w:val="24"/>
          <w:szCs w:val="24"/>
        </w:rPr>
        <w:t>Assembléia</w:t>
      </w:r>
      <w:proofErr w:type="spellEnd"/>
      <w:r>
        <w:rPr>
          <w:rFonts w:ascii="Arial" w:hAnsi="Arial" w:cs="Arial"/>
          <w:sz w:val="24"/>
          <w:szCs w:val="24"/>
        </w:rPr>
        <w:t xml:space="preserve"> Legislativa, que deverá aprova-los por maioria absoluta no prazo de quinze dias a contar da eleição, com nomeação automática em seu decurso.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Os Procuradores-Gerais de Justiça nos Estados, os Procuradores-Gerais de Contas nos Estados e os Procuradores-Gerais de Contas nos Municípios serão nomeados por ato do Governador do Estado.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jc w:val="both"/>
        <w:rPr>
          <w:rFonts w:ascii="Arial" w:hAnsi="Arial" w:cs="Arial"/>
          <w:sz w:val="24"/>
          <w:szCs w:val="24"/>
        </w:rPr>
      </w:pP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left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§4º A destituição do Procurador-Geral da República, do Procurador-Geral Federal, do Procurador-Geral do Trabalho, do Procurador-Geral Militar, do Procurador-Geral </w:t>
      </w:r>
      <w:r>
        <w:rPr>
          <w:rFonts w:ascii="Arial" w:hAnsi="Arial" w:cs="Arial"/>
          <w:sz w:val="24"/>
          <w:szCs w:val="24"/>
        </w:rPr>
        <w:lastRenderedPageBreak/>
        <w:t>do Distrito Federal e Territórios e do Procurador-Geral de Contas da União, por iniciativa de dois terços dos Ministros do Conselho Nacional do Ministério Público, deverá ser precedida de autorização da maioria absoluta do Senado Federal.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4º Os membros do Conselho Nacional de Justiça e do Conselho Nacional do Ministério Público deverão ter, obrigatoriamente, mais de trinta e cinco anos de idade e dez anos de exercício nas respectivas carreiras e classes de origem, recebendo o tratamento de Ministro, com todas as prerrogativas e garantias inerentes ao cargo.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C5513" w:rsidRDefault="00AC5513" w:rsidP="00AC5513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JUSTIFICATIVA</w:t>
      </w:r>
    </w:p>
    <w:p w:rsidR="00AC5513" w:rsidRPr="0080579B" w:rsidRDefault="00AC5513" w:rsidP="00AC5513">
      <w:pPr>
        <w:autoSpaceDE w:val="0"/>
        <w:autoSpaceDN w:val="0"/>
        <w:adjustRightInd w:val="0"/>
        <w:spacing w:before="120"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C5513" w:rsidRDefault="00AC5513" w:rsidP="00AC5513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Órgão de relevante importância constitucional, o Ministério </w:t>
      </w:r>
      <w:r w:rsidR="004E1713">
        <w:rPr>
          <w:rFonts w:ascii="Arial" w:hAnsi="Arial" w:cs="Arial"/>
          <w:sz w:val="24"/>
          <w:szCs w:val="24"/>
        </w:rPr>
        <w:t>Público detém</w:t>
      </w:r>
      <w:r>
        <w:rPr>
          <w:rFonts w:ascii="Arial" w:hAnsi="Arial" w:cs="Arial"/>
          <w:sz w:val="24"/>
          <w:szCs w:val="24"/>
        </w:rPr>
        <w:t xml:space="preserve"> a titularidade da ação penal pública e legitimidade disjuntiva para tutela dos interesses individuais homogêneos, difusos e coletivos, contando, para tanto, com privativo instrumento de apuração chamado inquérito civil. Por demais tutela, em juízo, o direito dos hipossuficientes.</w:t>
      </w:r>
    </w:p>
    <w:p w:rsidR="00AC5513" w:rsidRDefault="00AC5513" w:rsidP="00AC5513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trato republicano de defesa dos interesses sociais não se concebe um Ministério Público dependente, na formação de sua chefia, da vontade do Executivo.</w:t>
      </w:r>
    </w:p>
    <w:p w:rsidR="00AC5513" w:rsidRDefault="00AC5513" w:rsidP="00AC5513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a corrigenda dessa distorção, ora proponho a eleição direta do Procurador-Geral da República por todos os seus integrantes dotados do predicamento da vitaliciedade, submetendo a vontade da carreira, em legítimo sistema de freios e contrapesos, à aprovação do Parlamento.</w:t>
      </w:r>
    </w:p>
    <w:p w:rsidR="00AC5513" w:rsidRDefault="00AC5513" w:rsidP="00AC5513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Faço esta proposta baseado nos anseios sociais das recentes manifestações de rua trazidas a este Parlamento por movimentos sociais, em absoluto respeito ao princípio republicano.</w:t>
      </w:r>
    </w:p>
    <w:p w:rsidR="00AC5513" w:rsidRDefault="00AC5513" w:rsidP="00AC5513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Cumpre frisar que também busquei corrigir por meio desta proposição a injustificável </w:t>
      </w:r>
      <w:proofErr w:type="spellStart"/>
      <w:r>
        <w:rPr>
          <w:rFonts w:ascii="Arial" w:hAnsi="Arial" w:cs="Arial"/>
          <w:sz w:val="24"/>
          <w:szCs w:val="24"/>
        </w:rPr>
        <w:t>desequiparação</w:t>
      </w:r>
      <w:proofErr w:type="spellEnd"/>
      <w:r>
        <w:rPr>
          <w:rFonts w:ascii="Arial" w:hAnsi="Arial" w:cs="Arial"/>
          <w:sz w:val="24"/>
          <w:szCs w:val="24"/>
        </w:rPr>
        <w:t xml:space="preserve"> entre os estamentos do </w:t>
      </w:r>
      <w:r>
        <w:rPr>
          <w:rFonts w:ascii="Arial" w:hAnsi="Arial" w:cs="Arial"/>
          <w:i/>
          <w:sz w:val="24"/>
          <w:szCs w:val="24"/>
        </w:rPr>
        <w:t>Parquet.</w:t>
      </w:r>
      <w:r>
        <w:rPr>
          <w:rFonts w:ascii="Arial" w:hAnsi="Arial" w:cs="Arial"/>
          <w:sz w:val="24"/>
          <w:szCs w:val="24"/>
        </w:rPr>
        <w:t xml:space="preserve"> O Ministério Público é órgão nacional, uno e indivisível, e por isto não se justifica – máxime </w:t>
      </w:r>
      <w:r>
        <w:rPr>
          <w:rFonts w:ascii="Arial" w:hAnsi="Arial" w:cs="Arial"/>
          <w:sz w:val="24"/>
          <w:szCs w:val="24"/>
        </w:rPr>
        <w:lastRenderedPageBreak/>
        <w:t>em uma República Federativa – que somente os Membros do ramo federal possuam ocupar a função de Procurador-Geral da República, confundindo-se os conceitos de órgão federal com órgão nacional.</w:t>
      </w:r>
    </w:p>
    <w:p w:rsidR="00AC5513" w:rsidRDefault="00AC5513" w:rsidP="00AC5513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Dessa forma, a presente emenda aglutina expressamente todos os estamentos do </w:t>
      </w:r>
      <w:r>
        <w:rPr>
          <w:rFonts w:ascii="Arial" w:hAnsi="Arial" w:cs="Arial"/>
          <w:i/>
          <w:sz w:val="24"/>
          <w:szCs w:val="24"/>
        </w:rPr>
        <w:t xml:space="preserve">Parquet </w:t>
      </w:r>
      <w:r>
        <w:rPr>
          <w:rFonts w:ascii="Arial" w:hAnsi="Arial" w:cs="Arial"/>
          <w:sz w:val="24"/>
          <w:szCs w:val="24"/>
        </w:rPr>
        <w:t>dentro do Ministério Público Nacional, dispondo sobre duas chefias em repartição horizontal.</w:t>
      </w:r>
    </w:p>
    <w:p w:rsidR="00AC5513" w:rsidRDefault="00AC5513" w:rsidP="00AC5513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Insta mencionar, nesse contexto, que o legislador constituinte originário criou um Tribunal nacional situado abaixo do Tribunal constitucional, quer seja o superior Tribunal de Justiça e, justamente, por ser um órgão nacional, se vê, em sua formação, plena obediência ao princípio federativo, com paritária composição entre magistrados estaduais e federais, assim como há igualdade de acesso, ao quinhão de origem que lhe é reservado, aos membros dos ministérios Públicos dos Estados e o Federal.</w:t>
      </w:r>
    </w:p>
    <w:p w:rsidR="00AC5513" w:rsidRDefault="00AC5513" w:rsidP="00AC5513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Mais um motivo, portanto, para que a chefia do Ministério Público Nacional possa ser ocupada por qualquer de seus membros vitalícios, afastando-se injustificável restrição de acesso </w:t>
      </w:r>
      <w:r w:rsidR="005124DC">
        <w:rPr>
          <w:rFonts w:ascii="Arial" w:hAnsi="Arial" w:cs="Arial"/>
          <w:sz w:val="24"/>
          <w:szCs w:val="24"/>
        </w:rPr>
        <w:t>aos cargos</w:t>
      </w:r>
      <w:r>
        <w:rPr>
          <w:rFonts w:ascii="Arial" w:hAnsi="Arial" w:cs="Arial"/>
          <w:sz w:val="24"/>
          <w:szCs w:val="24"/>
        </w:rPr>
        <w:t xml:space="preserve"> à parte preponderante dos integrantes da carreira.</w:t>
      </w:r>
    </w:p>
    <w:p w:rsidR="00AC5513" w:rsidRDefault="00AC5513" w:rsidP="00AC5513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paralelo à chefia nacional do </w:t>
      </w:r>
      <w:r>
        <w:rPr>
          <w:rFonts w:ascii="Arial" w:hAnsi="Arial" w:cs="Arial"/>
          <w:i/>
          <w:sz w:val="24"/>
          <w:szCs w:val="24"/>
        </w:rPr>
        <w:t>Parquet</w:t>
      </w:r>
      <w:r>
        <w:rPr>
          <w:rFonts w:ascii="Arial" w:hAnsi="Arial" w:cs="Arial"/>
          <w:sz w:val="24"/>
          <w:szCs w:val="24"/>
        </w:rPr>
        <w:t>, a presente emenda também dispõe sobre a eleição do chefe do Ministério Público local, submetendo sua aprovação ao Poder Legislativo.</w:t>
      </w:r>
    </w:p>
    <w:p w:rsidR="00AC5513" w:rsidRDefault="00AC5513" w:rsidP="00AC5513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Noutro vértice – e mantido o paralelismo entre os estamentos do Ministério Público, há de se destacar que o Presidente do Conselho Nacional de Justiça, sempre o Presidente do Supremo Tribunal Federal, não tem como ser reconduzido à função, e isto por força da salutar alternância da chefia da Corte Suprema.</w:t>
      </w:r>
    </w:p>
    <w:p w:rsidR="00AC5513" w:rsidRDefault="00AC5513" w:rsidP="00AC5513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se justifica, portanto, a possibilidade de recondução do Procurador-Geral da República, pois se teria, assim, a possibilidade de mesma pessoa ser reconduzida à Presidência do Conselho Nacional do Ministério Público.</w:t>
      </w:r>
    </w:p>
    <w:p w:rsidR="00AC5513" w:rsidRDefault="00AC5513" w:rsidP="00AC5513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No mais, a alternância na chefia interna do Ministério Público é sempre salutar, evitando-se a hipotética influência política sobre cargo dos mais importantes da República e dos Estados Federados.</w:t>
      </w:r>
    </w:p>
    <w:p w:rsidR="00AC5513" w:rsidRPr="007F277C" w:rsidRDefault="00AC5513" w:rsidP="00AC5513">
      <w:pPr>
        <w:spacing w:before="120"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fim, a presente emenda traz mínimo predicado de idade e de exercício funcional para acesso aos Conselhos Nacionais, reconhecendo o título de Ministro aos seus </w:t>
      </w:r>
      <w:r>
        <w:rPr>
          <w:rFonts w:ascii="Arial" w:hAnsi="Arial" w:cs="Arial"/>
          <w:i/>
          <w:sz w:val="24"/>
          <w:szCs w:val="24"/>
        </w:rPr>
        <w:t xml:space="preserve">exercestes, </w:t>
      </w:r>
      <w:r>
        <w:rPr>
          <w:rFonts w:ascii="Arial" w:hAnsi="Arial" w:cs="Arial"/>
          <w:sz w:val="24"/>
          <w:szCs w:val="24"/>
        </w:rPr>
        <w:t xml:space="preserve">mercê da lata relevância das funções e das disposições constitucionais de regência daquelas.  </w:t>
      </w:r>
    </w:p>
    <w:p w:rsidR="00AC5513" w:rsidRPr="00F86DAD" w:rsidRDefault="00AC5513" w:rsidP="00AC551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Certo da insofismável relevância democrática e social das mudanças que ora proponho, creio que meus Pares nesta Casa do Povo darão não a mim, mas aos brasileiros que buscam passar a limpo a turbulência político institucional a qual estamos atravessando, o necessário apoio para aprovação desta PEC. </w:t>
      </w:r>
    </w:p>
    <w:p w:rsidR="00AC5513" w:rsidRPr="002E3934" w:rsidRDefault="00AC5513" w:rsidP="00AC5513">
      <w:pPr>
        <w:spacing w:before="100" w:beforeAutospacing="1" w:after="100" w:afterAutospacing="1" w:line="240" w:lineRule="auto"/>
        <w:jc w:val="center"/>
        <w:rPr>
          <w:rFonts w:ascii="Arial" w:hAnsi="Arial" w:cs="Arial"/>
          <w:sz w:val="24"/>
          <w:szCs w:val="24"/>
        </w:rPr>
      </w:pPr>
      <w:r w:rsidRPr="002E3934">
        <w:rPr>
          <w:rFonts w:ascii="Arial" w:hAnsi="Arial" w:cs="Arial"/>
          <w:sz w:val="24"/>
          <w:szCs w:val="24"/>
        </w:rPr>
        <w:t xml:space="preserve">Sala das </w:t>
      </w:r>
      <w:r>
        <w:rPr>
          <w:rFonts w:ascii="Arial" w:hAnsi="Arial" w:cs="Arial"/>
          <w:sz w:val="24"/>
          <w:szCs w:val="24"/>
        </w:rPr>
        <w:t xml:space="preserve">Sessões, em            </w:t>
      </w:r>
      <w:r w:rsidRPr="002E3934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junho</w:t>
      </w:r>
      <w:r w:rsidRPr="002E3934">
        <w:rPr>
          <w:rFonts w:ascii="Arial" w:hAnsi="Arial" w:cs="Arial"/>
          <w:sz w:val="24"/>
          <w:szCs w:val="24"/>
        </w:rPr>
        <w:t xml:space="preserve"> de 2016.</w:t>
      </w:r>
    </w:p>
    <w:p w:rsidR="00AC5513" w:rsidRPr="002E3934" w:rsidRDefault="00AC5513" w:rsidP="00AC5513">
      <w:pPr>
        <w:spacing w:before="100" w:beforeAutospacing="1" w:after="100" w:afterAutospacing="1" w:line="240" w:lineRule="auto"/>
        <w:jc w:val="right"/>
        <w:rPr>
          <w:rFonts w:ascii="Arial" w:hAnsi="Arial" w:cs="Arial"/>
          <w:sz w:val="24"/>
          <w:szCs w:val="24"/>
        </w:rPr>
      </w:pPr>
    </w:p>
    <w:p w:rsidR="00AC5513" w:rsidRPr="002E3934" w:rsidRDefault="00AC5513" w:rsidP="00AC551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3934">
        <w:rPr>
          <w:rFonts w:ascii="Arial" w:hAnsi="Arial" w:cs="Arial"/>
          <w:b/>
          <w:bCs/>
          <w:sz w:val="24"/>
          <w:szCs w:val="24"/>
        </w:rPr>
        <w:t>Deputado GOULART</w:t>
      </w:r>
    </w:p>
    <w:p w:rsidR="00AC5513" w:rsidRPr="002E3934" w:rsidRDefault="00AC5513" w:rsidP="00AC5513">
      <w:pPr>
        <w:spacing w:after="0" w:line="240" w:lineRule="auto"/>
        <w:jc w:val="center"/>
        <w:rPr>
          <w:rFonts w:ascii="Arial" w:hAnsi="Arial" w:cs="Arial"/>
        </w:rPr>
      </w:pPr>
      <w:r w:rsidRPr="002E3934">
        <w:rPr>
          <w:rFonts w:ascii="Arial" w:hAnsi="Arial" w:cs="Arial"/>
          <w:b/>
          <w:bCs/>
          <w:sz w:val="24"/>
          <w:szCs w:val="24"/>
        </w:rPr>
        <w:t>PSD/SP</w:t>
      </w:r>
    </w:p>
    <w:p w:rsidR="00BC64D3" w:rsidRDefault="00BC64D3"/>
    <w:p w:rsidR="00AC5513" w:rsidRDefault="00AC5513"/>
    <w:p w:rsidR="00AC5513" w:rsidRDefault="00AC5513"/>
    <w:p w:rsidR="00AC5513" w:rsidRDefault="00AC5513"/>
    <w:p w:rsidR="00AC5513" w:rsidRDefault="00AC5513"/>
    <w:p w:rsidR="00AC5513" w:rsidRDefault="00AC5513"/>
    <w:p w:rsidR="00AC5513" w:rsidRDefault="00AC5513"/>
    <w:p w:rsidR="00AC5513" w:rsidRDefault="00AC5513"/>
    <w:p w:rsidR="00AC5513" w:rsidRDefault="00AC5513"/>
    <w:p w:rsidR="00AC5513" w:rsidRDefault="00AC5513" w:rsidP="00AC5513">
      <w:pPr>
        <w:pStyle w:val="TextosemFormatao"/>
        <w:tabs>
          <w:tab w:val="left" w:pos="9214"/>
        </w:tabs>
        <w:spacing w:line="360" w:lineRule="auto"/>
        <w:jc w:val="center"/>
        <w:rPr>
          <w:rFonts w:asciiTheme="minorHAnsi" w:hAnsiTheme="minorHAnsi" w:cs="Arial"/>
          <w:b/>
        </w:rPr>
      </w:pPr>
    </w:p>
    <w:p w:rsidR="00AC5513" w:rsidRDefault="00AC5513" w:rsidP="00AC5513">
      <w:pPr>
        <w:pStyle w:val="TextosemFormatao"/>
        <w:tabs>
          <w:tab w:val="left" w:pos="9214"/>
        </w:tabs>
        <w:spacing w:line="360" w:lineRule="auto"/>
        <w:jc w:val="center"/>
        <w:rPr>
          <w:rFonts w:asciiTheme="minorHAnsi" w:hAnsiTheme="minorHAnsi" w:cs="Arial"/>
          <w:b/>
        </w:rPr>
      </w:pPr>
    </w:p>
    <w:p w:rsidR="00AC5513" w:rsidRDefault="00AC5513" w:rsidP="00AC5513">
      <w:pPr>
        <w:pStyle w:val="TextosemFormatao"/>
        <w:tabs>
          <w:tab w:val="left" w:pos="9214"/>
        </w:tabs>
        <w:spacing w:line="360" w:lineRule="auto"/>
        <w:jc w:val="center"/>
        <w:rPr>
          <w:rFonts w:asciiTheme="minorHAnsi" w:hAnsiTheme="minorHAnsi" w:cs="Arial"/>
          <w:b/>
        </w:rPr>
      </w:pPr>
    </w:p>
    <w:p w:rsidR="00AC5513" w:rsidRDefault="00AC5513" w:rsidP="00AC5513">
      <w:pPr>
        <w:pStyle w:val="TextosemFormatao"/>
        <w:tabs>
          <w:tab w:val="left" w:pos="9214"/>
        </w:tabs>
        <w:spacing w:line="360" w:lineRule="auto"/>
        <w:jc w:val="center"/>
        <w:rPr>
          <w:rFonts w:asciiTheme="minorHAnsi" w:hAnsiTheme="minorHAnsi" w:cs="Arial"/>
          <w:b/>
        </w:rPr>
      </w:pPr>
    </w:p>
    <w:p w:rsidR="00AC5513" w:rsidRDefault="00AC5513" w:rsidP="00AC5513">
      <w:pPr>
        <w:pStyle w:val="TextosemFormatao"/>
        <w:tabs>
          <w:tab w:val="left" w:pos="9214"/>
        </w:tabs>
        <w:spacing w:line="360" w:lineRule="auto"/>
        <w:jc w:val="center"/>
        <w:rPr>
          <w:rFonts w:asciiTheme="minorHAnsi" w:hAnsiTheme="minorHAnsi" w:cs="Arial"/>
          <w:b/>
        </w:rPr>
      </w:pPr>
    </w:p>
    <w:sectPr w:rsidR="00AC5513" w:rsidSect="007E28E6">
      <w:headerReference w:type="default" r:id="rId7"/>
      <w:pgSz w:w="11906" w:h="16838"/>
      <w:pgMar w:top="1276" w:right="1701" w:bottom="1134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48A" w:rsidRDefault="0091748A">
      <w:pPr>
        <w:spacing w:after="0" w:line="240" w:lineRule="auto"/>
      </w:pPr>
      <w:r>
        <w:separator/>
      </w:r>
    </w:p>
  </w:endnote>
  <w:endnote w:type="continuationSeparator" w:id="0">
    <w:p w:rsidR="0091748A" w:rsidRDefault="00917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rlito"/>
    <w:panose1 w:val="020F0502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48A" w:rsidRDefault="0091748A">
      <w:pPr>
        <w:spacing w:after="0" w:line="240" w:lineRule="auto"/>
      </w:pPr>
      <w:r>
        <w:separator/>
      </w:r>
    </w:p>
  </w:footnote>
  <w:footnote w:type="continuationSeparator" w:id="0">
    <w:p w:rsidR="0091748A" w:rsidRDefault="009174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152" w:rsidRDefault="0091748A" w:rsidP="00B43152">
    <w:pPr>
      <w:pStyle w:val="Cabealho"/>
      <w:ind w:firstLine="851"/>
      <w:rPr>
        <w:rFonts w:ascii="Verdana" w:hAnsi="Verdana"/>
        <w:b/>
      </w:rPr>
    </w:pPr>
    <w:r>
      <w:rPr>
        <w:rFonts w:ascii="Times New Roman" w:hAnsi="Times New Roman"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.4pt;margin-top:23.85pt;width:44.1pt;height:44.1pt;z-index:251658240;visibility:visible;mso-wrap-edited:f;mso-position-vertical-relative:page" o:allowincell="f">
          <v:imagedata r:id="rId1" o:title=""/>
          <w10:wrap anchory="page"/>
        </v:shape>
        <o:OLEObject Type="Embed" ProgID="Word.Picture.8" ShapeID="_x0000_s2049" DrawAspect="Content" ObjectID="_1529387449" r:id="rId2"/>
      </w:object>
    </w:r>
  </w:p>
  <w:p w:rsidR="00B43152" w:rsidRDefault="00C70DC0" w:rsidP="00B43152">
    <w:pPr>
      <w:pStyle w:val="Cabealho"/>
      <w:ind w:firstLine="851"/>
      <w:rPr>
        <w:rFonts w:ascii="Verdana" w:hAnsi="Verdana"/>
        <w:b/>
      </w:rPr>
    </w:pPr>
    <w:r>
      <w:rPr>
        <w:rFonts w:ascii="Verdana" w:hAnsi="Verdana"/>
        <w:b/>
      </w:rPr>
      <w:t>CAMARA DOS DEPUTADOS</w:t>
    </w:r>
  </w:p>
  <w:p w:rsidR="00B43152" w:rsidRDefault="0091748A">
    <w:pPr>
      <w:pStyle w:val="Cabealho"/>
    </w:pPr>
  </w:p>
  <w:p w:rsidR="00A1752C" w:rsidRDefault="0091748A">
    <w:pPr>
      <w:pStyle w:val="Cabealho"/>
    </w:pPr>
  </w:p>
  <w:p w:rsidR="007E28E6" w:rsidRDefault="0091748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5793D"/>
    <w:multiLevelType w:val="hybridMultilevel"/>
    <w:tmpl w:val="1C040A92"/>
    <w:lvl w:ilvl="0" w:tplc="07A0F16A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 w15:restartNumberingAfterBreak="0">
    <w:nsid w:val="6ECC6429"/>
    <w:multiLevelType w:val="hybridMultilevel"/>
    <w:tmpl w:val="588EB83A"/>
    <w:lvl w:ilvl="0" w:tplc="DBD63CB4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513"/>
    <w:rsid w:val="002D46C3"/>
    <w:rsid w:val="0031530D"/>
    <w:rsid w:val="004E1713"/>
    <w:rsid w:val="005124DC"/>
    <w:rsid w:val="00571870"/>
    <w:rsid w:val="0091748A"/>
    <w:rsid w:val="00AC5513"/>
    <w:rsid w:val="00B54941"/>
    <w:rsid w:val="00BC64D3"/>
    <w:rsid w:val="00C70DC0"/>
    <w:rsid w:val="00CB2C87"/>
    <w:rsid w:val="00D50070"/>
    <w:rsid w:val="00EB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EF11C9-D3BB-4461-8D50-035C63A70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551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C55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AC5513"/>
  </w:style>
  <w:style w:type="paragraph" w:styleId="PargrafodaLista">
    <w:name w:val="List Paragraph"/>
    <w:basedOn w:val="Normal"/>
    <w:uiPriority w:val="34"/>
    <w:qFormat/>
    <w:rsid w:val="00AC5513"/>
    <w:pPr>
      <w:ind w:left="720"/>
      <w:contextualSpacing/>
    </w:pPr>
  </w:style>
  <w:style w:type="paragraph" w:styleId="TextosemFormatao">
    <w:name w:val="Plain Text"/>
    <w:basedOn w:val="Normal"/>
    <w:link w:val="TextosemFormataoChar"/>
    <w:uiPriority w:val="99"/>
    <w:unhideWhenUsed/>
    <w:rsid w:val="00AC5513"/>
    <w:pPr>
      <w:spacing w:after="0" w:line="240" w:lineRule="auto"/>
    </w:pPr>
    <w:rPr>
      <w:rFonts w:ascii="Arial" w:eastAsia="Times New Roman" w:hAnsi="Arial"/>
      <w:sz w:val="24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C5513"/>
    <w:rPr>
      <w:rFonts w:ascii="Arial" w:eastAsia="Times New Roman" w:hAnsi="Arial"/>
      <w:sz w:val="24"/>
      <w:szCs w:val="21"/>
    </w:rPr>
  </w:style>
  <w:style w:type="table" w:styleId="Tabelacomgrade">
    <w:name w:val="Table Grid"/>
    <w:basedOn w:val="Tabelanormal"/>
    <w:uiPriority w:val="59"/>
    <w:rsid w:val="00AC5513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1377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Maurilio Moreira da Rocha</dc:creator>
  <cp:keywords/>
  <dc:description/>
  <cp:lastModifiedBy>Maurilio Moreira da Rocha</cp:lastModifiedBy>
  <cp:revision>7</cp:revision>
  <dcterms:created xsi:type="dcterms:W3CDTF">2016-06-13T19:24:00Z</dcterms:created>
  <dcterms:modified xsi:type="dcterms:W3CDTF">2016-07-07T12:04:00Z</dcterms:modified>
</cp:coreProperties>
</file>