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A84" w:rsidRPr="007B5A84" w:rsidRDefault="007B5A84" w:rsidP="007B5A84">
      <w:pPr>
        <w:spacing w:before="100" w:beforeAutospacing="1" w:after="0" w:line="360" w:lineRule="auto"/>
        <w:jc w:val="center"/>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b/>
          <w:bCs/>
          <w:color w:val="000000"/>
          <w:sz w:val="24"/>
          <w:szCs w:val="24"/>
          <w:lang w:eastAsia="pt-BR"/>
        </w:rPr>
        <w:t>PROPOSTA DE FISCALIZAÇÃO E CONTROLE Nº</w:t>
      </w:r>
      <w:r>
        <w:rPr>
          <w:rFonts w:ascii="Times New Roman" w:eastAsia="Times New Roman" w:hAnsi="Times New Roman" w:cs="Times New Roman"/>
          <w:b/>
          <w:bCs/>
          <w:color w:val="000000"/>
          <w:sz w:val="24"/>
          <w:szCs w:val="24"/>
          <w:lang w:eastAsia="pt-BR"/>
        </w:rPr>
        <w:t xml:space="preserve">            </w:t>
      </w:r>
      <w:proofErr w:type="gramStart"/>
      <w:r>
        <w:rPr>
          <w:rFonts w:ascii="Times New Roman" w:eastAsia="Times New Roman" w:hAnsi="Times New Roman" w:cs="Times New Roman"/>
          <w:b/>
          <w:bCs/>
          <w:color w:val="000000"/>
          <w:sz w:val="24"/>
          <w:szCs w:val="24"/>
          <w:lang w:eastAsia="pt-BR"/>
        </w:rPr>
        <w:t xml:space="preserve"> </w:t>
      </w:r>
      <w:r w:rsidRPr="007B5A84">
        <w:rPr>
          <w:rFonts w:ascii="Times New Roman" w:eastAsia="Times New Roman" w:hAnsi="Times New Roman" w:cs="Times New Roman"/>
          <w:b/>
          <w:bCs/>
          <w:color w:val="000000"/>
          <w:sz w:val="24"/>
          <w:szCs w:val="24"/>
          <w:lang w:eastAsia="pt-BR"/>
        </w:rPr>
        <w:t xml:space="preserve"> ,</w:t>
      </w:r>
      <w:proofErr w:type="gramEnd"/>
      <w:r w:rsidRPr="007B5A84">
        <w:rPr>
          <w:rFonts w:ascii="Times New Roman" w:eastAsia="Times New Roman" w:hAnsi="Times New Roman" w:cs="Times New Roman"/>
          <w:b/>
          <w:bCs/>
          <w:color w:val="000000"/>
          <w:sz w:val="24"/>
          <w:szCs w:val="24"/>
          <w:lang w:eastAsia="pt-BR"/>
        </w:rPr>
        <w:t xml:space="preserve"> DE 2016</w:t>
      </w:r>
    </w:p>
    <w:p w:rsidR="007B5A84" w:rsidRPr="007B5A84" w:rsidRDefault="007B5A84" w:rsidP="007B5A84">
      <w:pPr>
        <w:spacing w:before="100" w:beforeAutospacing="1" w:after="0" w:line="360" w:lineRule="auto"/>
        <w:jc w:val="center"/>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b/>
          <w:bCs/>
          <w:color w:val="000000"/>
          <w:sz w:val="24"/>
          <w:szCs w:val="24"/>
          <w:lang w:eastAsia="pt-BR"/>
        </w:rPr>
        <w:t>(Do Sr. Toninho Wandscheer)</w:t>
      </w:r>
    </w:p>
    <w:p w:rsidR="007B5A84" w:rsidRPr="007B5A84" w:rsidRDefault="007B5A84"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7B5A84" w:rsidRPr="007B5A84" w:rsidRDefault="007B5A84" w:rsidP="007B5A84">
      <w:pPr>
        <w:spacing w:before="100" w:beforeAutospacing="1" w:after="0" w:line="240" w:lineRule="auto"/>
        <w:ind w:left="2126"/>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Propõe que a Comissão de Fiscalização Financeira e Controle da Câmara dos Deputados (CFFC) realize, com o auxílio do Tribunal de Contas da União (TCU), ato de fiscalização com o objetivo de verificar a ocorrência de possíveis irregularidades no sistema de controle social do Cadastro Único, especificamente nas condicionalidades do Programa Bolsa Família, critérios de fiscalização, controle e acompanhamento, na forma de regulação do sistema.</w:t>
      </w:r>
    </w:p>
    <w:p w:rsidR="007B5A84" w:rsidRPr="007B5A84" w:rsidRDefault="007B5A84" w:rsidP="007B5A84">
      <w:pPr>
        <w:spacing w:before="100" w:beforeAutospacing="1" w:after="0" w:line="360" w:lineRule="auto"/>
        <w:ind w:firstLine="1701"/>
        <w:jc w:val="both"/>
        <w:rPr>
          <w:rFonts w:ascii="Times New Roman" w:eastAsia="Times New Roman" w:hAnsi="Times New Roman" w:cs="Times New Roman"/>
          <w:color w:val="000000"/>
          <w:sz w:val="24"/>
          <w:szCs w:val="24"/>
          <w:lang w:eastAsia="pt-BR"/>
        </w:rPr>
      </w:pPr>
      <w:bookmarkStart w:id="0" w:name="art38"/>
      <w:bookmarkEnd w:id="0"/>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Senhor Presidente,</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 xml:space="preserve">Com base no art. 100, § 1º, combinado com o art. 24, X, art. 60, II e com o art. 61, § 1º, do Regimento Interno da Câmara dos Deputados, e dos incisos IV e VII do art. 71 da Constituição Federal, proponho, ouvido o Plenário desta Comissão, e com auxílio do Tribunal de Contas da União (TCU), que seja realizado procedimento fiscalizatório específico com o objetivo de verificar a ocorrência de possíveis irregularidades no sistema de controle social do Cadastro Único, especificamente nas condicionalidades do Programa Bolsa Família, critérios de fiscalização, controle e acompanhamento, na forma de regulação do sistema. </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b/>
          <w:bCs/>
          <w:color w:val="000000"/>
          <w:sz w:val="24"/>
          <w:szCs w:val="24"/>
          <w:lang w:eastAsia="pt-BR"/>
        </w:rPr>
        <w:t>JUSTIFICAÇÃO</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bookmarkStart w:id="1" w:name="art30p"/>
      <w:bookmarkStart w:id="2" w:name="art29."/>
      <w:bookmarkEnd w:id="1"/>
      <w:bookmarkEnd w:id="2"/>
      <w:r w:rsidRPr="007B5A84">
        <w:rPr>
          <w:rFonts w:ascii="Times New Roman" w:eastAsia="Times New Roman" w:hAnsi="Times New Roman" w:cs="Times New Roman"/>
          <w:color w:val="000000"/>
          <w:sz w:val="24"/>
          <w:szCs w:val="24"/>
          <w:lang w:eastAsia="pt-BR"/>
        </w:rPr>
        <w:t>Institui-se no Brasil várias políticas públicas ao alcance da maioria da população brasileira e, em particular, dos mais pobres, especialmente o programa de transferência de renda, onde destaco o Bolsa Família, que veio para sanar o maior desafio da sociedade brasileira, que é o de combater a fome, a miséria, e promover a emancipação das famílias mais pobres do país, com resultados expressivos, porém ainda deixa a desejar em qualidade e eficiência na sua operacionalização e transparência.</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lastRenderedPageBreak/>
        <w:t>Observamos que o atendimento, não apenas dos programas sociais, mas o atendimento às necessidades e aspirações da população, se coloca em constante tensão com as limitações orçamentárias, gerenciais e legais do setor público.</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Especificamente em relação ao Programa Bolsa Família, este Parlamentar tem observado algumas críticas aos “critérios” de seleção das famílias beneficiárias, bem como as chamadas condicionalidades para permanência e a manutenção deste programa com vistas a emancipação das mesmas, onde se percebe apenas o crescente número de famílias atendidas.</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Para superar os vários desafios de gerir um orçamento escasso para as incontáveis necessidades, se faz necessário aproveitar as tecnologias existentes e ferramentas que comprovadamente funcionam na regulação de serviços, para aumentar a eficácia e a eficiência das políticas sociais de modo atingir realmente famílias que necessitam delas.</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 xml:space="preserve">Para tanto, solicito fiscalização do sistema de controle social do Cadastro Único hoje vigente, especificamente em relação aos “critérios” de seleção para inclusão e nas condicionalidades para permanência das famílias no Programa Bolsa Família. </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A referida solicitação, teria a função de dar transparência a atualização dos dados, buscar a identificação dos critérios de fiscalização, de controle e acompanhamento dessas famílias, e em especial, identificar um possível sistema de regulação dos procedimentos e seu funcionamento, de forma que possamos:</w:t>
      </w:r>
    </w:p>
    <w:p w:rsidR="007B5A84" w:rsidRPr="007B5A84" w:rsidRDefault="007B5A84" w:rsidP="007B5A84">
      <w:pPr>
        <w:numPr>
          <w:ilvl w:val="0"/>
          <w:numId w:val="1"/>
        </w:numPr>
        <w:spacing w:before="100" w:beforeAutospacing="1" w:after="0" w:line="360" w:lineRule="auto"/>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Observar quantitativamente as famílias antes e depois da participação do programa;</w:t>
      </w:r>
    </w:p>
    <w:p w:rsidR="007B5A84" w:rsidRPr="007B5A84" w:rsidRDefault="007B5A84" w:rsidP="007B5A84">
      <w:pPr>
        <w:numPr>
          <w:ilvl w:val="0"/>
          <w:numId w:val="1"/>
        </w:numPr>
        <w:spacing w:before="100" w:beforeAutospacing="1" w:after="0" w:line="360" w:lineRule="auto"/>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Identificar se os atendimentos são destinados às famílias que cumprem os requisitos mínimos, de forma que estejam no programa famílias que realmente necessitam, e a possibilidade de exclusão quando do não atendimento destes critérios seja evidenciada;</w:t>
      </w:r>
    </w:p>
    <w:p w:rsidR="007B5A84" w:rsidRPr="007B5A84" w:rsidRDefault="007B5A84" w:rsidP="007B5A84">
      <w:pPr>
        <w:numPr>
          <w:ilvl w:val="0"/>
          <w:numId w:val="1"/>
        </w:numPr>
        <w:spacing w:before="100" w:beforeAutospacing="1" w:after="0" w:line="360" w:lineRule="auto"/>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Analisar as possíveis superposições dos programas do governo, a exemplo do Cadastro Único que não tem ligação com o Cadastros da Saúde, Educação e Trabalho. Programas centralizados, com o cruzamento de dados fundamentais possibilitam refinar o cadastro e atingir com mais precisam os objetivos.</w:t>
      </w:r>
    </w:p>
    <w:p w:rsidR="007B5A84" w:rsidRPr="007B5A84" w:rsidRDefault="007B5A84" w:rsidP="007B5A84">
      <w:pPr>
        <w:numPr>
          <w:ilvl w:val="0"/>
          <w:numId w:val="1"/>
        </w:numPr>
        <w:spacing w:before="100" w:beforeAutospacing="1" w:after="0" w:line="360" w:lineRule="auto"/>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lastRenderedPageBreak/>
        <w:t xml:space="preserve">Observar o sistema de regulação quanto a sua transparência e independência, de forma a prestar contas </w:t>
      </w:r>
      <w:proofErr w:type="spellStart"/>
      <w:r w:rsidRPr="007B5A84">
        <w:rPr>
          <w:rFonts w:ascii="Times New Roman" w:eastAsia="Times New Roman" w:hAnsi="Times New Roman" w:cs="Times New Roman"/>
          <w:color w:val="000000"/>
          <w:sz w:val="24"/>
          <w:szCs w:val="24"/>
          <w:lang w:eastAsia="pt-BR"/>
        </w:rPr>
        <w:t>a</w:t>
      </w:r>
      <w:proofErr w:type="spellEnd"/>
      <w:r w:rsidRPr="007B5A84">
        <w:rPr>
          <w:rFonts w:ascii="Times New Roman" w:eastAsia="Times New Roman" w:hAnsi="Times New Roman" w:cs="Times New Roman"/>
          <w:color w:val="000000"/>
          <w:sz w:val="24"/>
          <w:szCs w:val="24"/>
          <w:lang w:eastAsia="pt-BR"/>
        </w:rPr>
        <w:t xml:space="preserve"> sociedade da efetividade dos gastos, fornecendo dados relevantes sobre a população e os programas;</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Para justificar o requerimento acima, aponto algumas questões que vão além das observações pessoais e motivam tal expediente, onde passo a enumerar:</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1 – A Reportagem “No bolso errado”, apresentada no anexo I dessa proposta, aponta que a Bolsa Família perdeu R$ 2,6 bilhões com fraudes, Revista Veja, Edição 2480, ano 49, apontando um levantamento que mostra o volume de recursos desviado do programa, onde identificou-se funcionários públicos, mortos e até doadores de campanha estão entre os beneficiados;</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2 – Com base nos dados extraídos do “Portal da Transferência nos recursos públicos federais”, percebemos de forma nítida a ampliação crescente de recursos destinados ao Programa, o qual triplicou em 10 anos de transferência de renda as famílias cadastradas, passando de 109 milhões em 2004 para 339 milhões em 2015, onde podemos nos questionar o salto expressivo no número de atendimentos, mas sem a certeza de seus objetivos cumpridos.</w:t>
      </w:r>
    </w:p>
    <w:p w:rsidR="007B5A84" w:rsidRPr="007B5A84" w:rsidRDefault="007B5A84" w:rsidP="007B5A84">
      <w:pPr>
        <w:spacing w:before="100" w:beforeAutospacing="1" w:after="0" w:line="360" w:lineRule="auto"/>
        <w:ind w:left="-1560"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noProof/>
          <w:color w:val="000000"/>
          <w:sz w:val="24"/>
          <w:szCs w:val="24"/>
          <w:lang w:eastAsia="pt-BR"/>
        </w:rPr>
        <w:drawing>
          <wp:inline distT="0" distB="0" distL="0" distR="0">
            <wp:extent cx="6257925" cy="24479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17464" cy="2588567"/>
                    </a:xfrm>
                    <a:prstGeom prst="rect">
                      <a:avLst/>
                    </a:prstGeom>
                    <a:noFill/>
                    <a:ln>
                      <a:noFill/>
                    </a:ln>
                  </pic:spPr>
                </pic:pic>
              </a:graphicData>
            </a:graphic>
          </wp:inline>
        </w:drawing>
      </w:r>
    </w:p>
    <w:p w:rsidR="007B5A84" w:rsidRPr="007B5A84" w:rsidRDefault="007B5A84" w:rsidP="007B5A84">
      <w:pPr>
        <w:spacing w:before="100" w:beforeAutospacing="1" w:after="0" w:line="360" w:lineRule="auto"/>
        <w:jc w:val="both"/>
        <w:rPr>
          <w:rFonts w:ascii="Times New Roman" w:eastAsia="Times New Roman" w:hAnsi="Times New Roman" w:cs="Times New Roman"/>
          <w:color w:val="000000"/>
          <w:sz w:val="20"/>
          <w:szCs w:val="20"/>
          <w:lang w:eastAsia="pt-BR"/>
        </w:rPr>
      </w:pPr>
      <w:r w:rsidRPr="007B5A84">
        <w:rPr>
          <w:rFonts w:ascii="Calibri" w:eastAsia="Times New Roman" w:hAnsi="Calibri" w:cs="Times New Roman"/>
          <w:color w:val="000000"/>
          <w:sz w:val="16"/>
          <w:szCs w:val="16"/>
          <w:lang w:eastAsia="pt-BR"/>
        </w:rPr>
        <w:t>Fonte: Portal da Transferência nos recursos públicos federais</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 xml:space="preserve">3 – Por fim, no anexo II, reproduzo correspondência da Empresa Painel Instituto de Pesquisas, a qual compilou uma amostragem de 3 cidades brasileiras, com base em </w:t>
      </w:r>
      <w:r w:rsidRPr="007B5A84">
        <w:rPr>
          <w:rFonts w:ascii="Times New Roman" w:eastAsia="Times New Roman" w:hAnsi="Times New Roman" w:cs="Times New Roman"/>
          <w:color w:val="000000"/>
          <w:sz w:val="24"/>
          <w:szCs w:val="24"/>
          <w:lang w:eastAsia="pt-BR"/>
        </w:rPr>
        <w:lastRenderedPageBreak/>
        <w:t>Diagnósticos de Vulnerabilidade Social, demonstrado a necessidade de revisão nos componentes de fiscalização e controle do Programa Bolsa Família.</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sz w:val="24"/>
          <w:szCs w:val="24"/>
          <w:lang w:eastAsia="pt-BR"/>
        </w:rPr>
        <w:t xml:space="preserve">Sala das Comissões, em </w:t>
      </w:r>
      <w:r w:rsidR="0048319F">
        <w:rPr>
          <w:rFonts w:ascii="Times New Roman" w:eastAsia="Times New Roman" w:hAnsi="Times New Roman" w:cs="Times New Roman"/>
          <w:color w:val="000000"/>
          <w:sz w:val="24"/>
          <w:szCs w:val="24"/>
          <w:lang w:eastAsia="pt-BR"/>
        </w:rPr>
        <w:t xml:space="preserve">      </w:t>
      </w:r>
      <w:r w:rsidRPr="007B5A84">
        <w:rPr>
          <w:rFonts w:ascii="Times New Roman" w:eastAsia="Times New Roman" w:hAnsi="Times New Roman" w:cs="Times New Roman"/>
          <w:color w:val="000000"/>
          <w:sz w:val="24"/>
          <w:szCs w:val="24"/>
          <w:lang w:eastAsia="pt-BR"/>
        </w:rPr>
        <w:t>de</w:t>
      </w:r>
      <w:r w:rsidR="0048319F">
        <w:rPr>
          <w:rFonts w:ascii="Times New Roman" w:eastAsia="Times New Roman" w:hAnsi="Times New Roman" w:cs="Times New Roman"/>
          <w:color w:val="000000"/>
          <w:sz w:val="24"/>
          <w:szCs w:val="24"/>
          <w:lang w:eastAsia="pt-BR"/>
        </w:rPr>
        <w:t xml:space="preserve">     </w:t>
      </w:r>
      <w:r w:rsidRPr="007B5A84">
        <w:rPr>
          <w:rFonts w:ascii="Times New Roman" w:eastAsia="Times New Roman" w:hAnsi="Times New Roman" w:cs="Times New Roman"/>
          <w:color w:val="000000"/>
          <w:sz w:val="24"/>
          <w:szCs w:val="24"/>
          <w:lang w:eastAsia="pt-BR"/>
        </w:rPr>
        <w:t xml:space="preserve"> </w:t>
      </w:r>
      <w:r w:rsidR="0048319F">
        <w:rPr>
          <w:rFonts w:ascii="Times New Roman" w:eastAsia="Times New Roman" w:hAnsi="Times New Roman" w:cs="Times New Roman"/>
          <w:color w:val="000000"/>
          <w:sz w:val="24"/>
          <w:szCs w:val="24"/>
          <w:lang w:eastAsia="pt-BR"/>
        </w:rPr>
        <w:t xml:space="preserve">              </w:t>
      </w:r>
      <w:proofErr w:type="spellStart"/>
      <w:r w:rsidRPr="007B5A84">
        <w:rPr>
          <w:rFonts w:ascii="Times New Roman" w:eastAsia="Times New Roman" w:hAnsi="Times New Roman" w:cs="Times New Roman"/>
          <w:color w:val="000000"/>
          <w:sz w:val="24"/>
          <w:szCs w:val="24"/>
          <w:lang w:eastAsia="pt-BR"/>
        </w:rPr>
        <w:t>de</w:t>
      </w:r>
      <w:proofErr w:type="spellEnd"/>
      <w:r w:rsidRPr="007B5A84">
        <w:rPr>
          <w:rFonts w:ascii="Times New Roman" w:eastAsia="Times New Roman" w:hAnsi="Times New Roman" w:cs="Times New Roman"/>
          <w:color w:val="000000"/>
          <w:sz w:val="24"/>
          <w:szCs w:val="24"/>
          <w:lang w:eastAsia="pt-BR"/>
        </w:rPr>
        <w:t xml:space="preserve"> 2016</w:t>
      </w:r>
    </w:p>
    <w:p w:rsidR="007B5A84" w:rsidRPr="007B5A84" w:rsidRDefault="007B5A84" w:rsidP="007B5A84">
      <w:pPr>
        <w:spacing w:before="100" w:beforeAutospacing="1" w:after="0" w:line="360" w:lineRule="auto"/>
        <w:ind w:firstLine="709"/>
        <w:jc w:val="both"/>
        <w:rPr>
          <w:rFonts w:ascii="Times New Roman" w:eastAsia="Times New Roman" w:hAnsi="Times New Roman" w:cs="Times New Roman"/>
          <w:color w:val="000000"/>
          <w:sz w:val="24"/>
          <w:szCs w:val="24"/>
          <w:lang w:eastAsia="pt-BR"/>
        </w:rPr>
      </w:pPr>
    </w:p>
    <w:p w:rsidR="00330C8A" w:rsidRDefault="00330C8A" w:rsidP="0048319F">
      <w:pPr>
        <w:spacing w:before="100" w:beforeAutospacing="1" w:after="0" w:line="360" w:lineRule="auto"/>
        <w:jc w:val="center"/>
        <w:rPr>
          <w:rFonts w:ascii="Times New Roman" w:eastAsia="Times New Roman" w:hAnsi="Times New Roman" w:cs="Times New Roman"/>
          <w:b/>
          <w:bCs/>
          <w:color w:val="000000"/>
          <w:sz w:val="24"/>
          <w:szCs w:val="24"/>
          <w:lang w:eastAsia="pt-BR"/>
        </w:rPr>
      </w:pPr>
    </w:p>
    <w:p w:rsidR="007B5A84" w:rsidRPr="007B5A84" w:rsidRDefault="007B5A84" w:rsidP="0048319F">
      <w:pPr>
        <w:spacing w:before="100" w:beforeAutospacing="1" w:after="0" w:line="360" w:lineRule="auto"/>
        <w:jc w:val="center"/>
        <w:rPr>
          <w:rFonts w:ascii="Times New Roman" w:eastAsia="Times New Roman" w:hAnsi="Times New Roman" w:cs="Times New Roman"/>
          <w:color w:val="000000"/>
          <w:sz w:val="24"/>
          <w:szCs w:val="24"/>
          <w:lang w:eastAsia="pt-BR"/>
        </w:rPr>
      </w:pPr>
      <w:bookmarkStart w:id="3" w:name="_GoBack"/>
      <w:bookmarkEnd w:id="3"/>
      <w:r w:rsidRPr="007B5A84">
        <w:rPr>
          <w:rFonts w:ascii="Times New Roman" w:eastAsia="Times New Roman" w:hAnsi="Times New Roman" w:cs="Times New Roman"/>
          <w:b/>
          <w:bCs/>
          <w:color w:val="000000"/>
          <w:sz w:val="24"/>
          <w:szCs w:val="24"/>
          <w:lang w:eastAsia="pt-BR"/>
        </w:rPr>
        <w:t>Deputado Toninho Wandscheer</w:t>
      </w: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r w:rsidRPr="007B5A84">
        <w:rPr>
          <w:rFonts w:ascii="Times New Roman" w:eastAsia="Times New Roman" w:hAnsi="Times New Roman" w:cs="Times New Roman"/>
          <w:b/>
          <w:bCs/>
          <w:color w:val="000000"/>
          <w:sz w:val="24"/>
          <w:szCs w:val="24"/>
          <w:lang w:eastAsia="pt-BR"/>
        </w:rPr>
        <w:t>ANEXO I – Reportagem “No Bolso Errado”, da Revista Veja</w:t>
      </w: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r w:rsidRPr="007B5A84">
        <w:rPr>
          <w:rFonts w:ascii="Times New Roman" w:eastAsia="Times New Roman" w:hAnsi="Times New Roman" w:cs="Times New Roman"/>
          <w:b/>
          <w:bCs/>
          <w:color w:val="000000"/>
          <w:sz w:val="24"/>
          <w:szCs w:val="24"/>
          <w:lang w:eastAsia="pt-BR"/>
        </w:rPr>
        <w:t>ANEXO II - Correspondência da Empresa Painel Instituto de Pesquisas</w:t>
      </w: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p>
    <w:p w:rsidR="00330C8A" w:rsidRDefault="00330C8A"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p>
    <w:p w:rsidR="00330C8A" w:rsidRDefault="007B5A84" w:rsidP="007B5A84">
      <w:pPr>
        <w:spacing w:before="100" w:beforeAutospacing="1" w:after="0" w:line="360" w:lineRule="auto"/>
        <w:jc w:val="both"/>
        <w:rPr>
          <w:rFonts w:ascii="Times New Roman" w:eastAsia="Times New Roman" w:hAnsi="Times New Roman" w:cs="Times New Roman"/>
          <w:b/>
          <w:bCs/>
          <w:color w:val="000000"/>
          <w:sz w:val="24"/>
          <w:szCs w:val="24"/>
          <w:lang w:eastAsia="pt-BR"/>
        </w:rPr>
      </w:pPr>
      <w:r w:rsidRPr="007B5A84">
        <w:rPr>
          <w:rFonts w:ascii="Times New Roman" w:eastAsia="Times New Roman" w:hAnsi="Times New Roman" w:cs="Times New Roman"/>
          <w:b/>
          <w:bCs/>
          <w:color w:val="000000"/>
          <w:sz w:val="24"/>
          <w:szCs w:val="24"/>
          <w:lang w:eastAsia="pt-BR"/>
        </w:rPr>
        <w:t>ANEXO I – Reportagem “No Bolso Errado”, da Revista Veja</w:t>
      </w:r>
    </w:p>
    <w:p w:rsidR="007B5A84" w:rsidRDefault="007B5A84" w:rsidP="007B5A84">
      <w:pPr>
        <w:spacing w:before="100" w:beforeAutospacing="1" w:after="0" w:line="36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noProof/>
          <w:color w:val="000000"/>
          <w:sz w:val="24"/>
          <w:szCs w:val="24"/>
          <w:lang w:eastAsia="pt-BR"/>
        </w:rPr>
        <w:drawing>
          <wp:inline distT="0" distB="0" distL="0" distR="0">
            <wp:extent cx="4971415" cy="5914350"/>
            <wp:effectExtent l="0" t="0" r="63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9128" cy="5923526"/>
                    </a:xfrm>
                    <a:prstGeom prst="rect">
                      <a:avLst/>
                    </a:prstGeom>
                    <a:noFill/>
                    <a:ln>
                      <a:noFill/>
                    </a:ln>
                  </pic:spPr>
                </pic:pic>
              </a:graphicData>
            </a:graphic>
          </wp:inline>
        </w:drawing>
      </w:r>
      <w:r w:rsidRPr="007B5A84">
        <w:rPr>
          <w:rFonts w:ascii="Times New Roman" w:eastAsia="Times New Roman" w:hAnsi="Times New Roman" w:cs="Times New Roman"/>
          <w:color w:val="000000"/>
          <w:sz w:val="20"/>
          <w:szCs w:val="20"/>
          <w:lang w:eastAsia="pt-BR"/>
        </w:rPr>
        <w:br w:type="page"/>
      </w:r>
      <w:r w:rsidRPr="007B5A84">
        <w:rPr>
          <w:rFonts w:ascii="Times New Roman" w:eastAsia="Times New Roman" w:hAnsi="Times New Roman" w:cs="Times New Roman"/>
          <w:noProof/>
          <w:color w:val="000000"/>
          <w:sz w:val="20"/>
          <w:szCs w:val="20"/>
          <w:lang w:eastAsia="pt-BR"/>
        </w:rPr>
        <w:lastRenderedPageBreak/>
        <w:drawing>
          <wp:inline distT="0" distB="0" distL="0" distR="0">
            <wp:extent cx="5399405" cy="68103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1945" cy="6813579"/>
                    </a:xfrm>
                    <a:prstGeom prst="rect">
                      <a:avLst/>
                    </a:prstGeom>
                    <a:noFill/>
                    <a:ln>
                      <a:noFill/>
                    </a:ln>
                  </pic:spPr>
                </pic:pic>
              </a:graphicData>
            </a:graphic>
          </wp:inline>
        </w:drawing>
      </w:r>
    </w:p>
    <w:p w:rsidR="007B5A84" w:rsidRPr="007B5A84" w:rsidRDefault="007B5A84" w:rsidP="007B5A84">
      <w:pPr>
        <w:pageBreakBefore/>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360" w:lineRule="auto"/>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b/>
          <w:bCs/>
          <w:color w:val="000000"/>
          <w:sz w:val="24"/>
          <w:szCs w:val="24"/>
          <w:lang w:eastAsia="pt-BR"/>
        </w:rPr>
        <w:t xml:space="preserve">ANEXO II - Correspondência da Empresa Painel Instituto de Pesquisas </w:t>
      </w:r>
    </w:p>
    <w:p w:rsidR="007B5A84" w:rsidRPr="007B5A84" w:rsidRDefault="007B5A84"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Curitiba, 18 de maio de 2016.</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Excelentíssimo Senhor Deputado, </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A Painel Instituto de Pesquisa trabalha a mais de 10 anos com </w:t>
      </w:r>
      <w:r w:rsidRPr="007B5A84">
        <w:rPr>
          <w:rFonts w:ascii="Times New Roman" w:eastAsia="Times New Roman" w:hAnsi="Times New Roman" w:cs="Times New Roman"/>
          <w:i/>
          <w:iCs/>
          <w:color w:val="000000"/>
          <w:sz w:val="20"/>
          <w:szCs w:val="20"/>
          <w:lang w:eastAsia="pt-BR"/>
        </w:rPr>
        <w:t>Diagnósticos Sociais</w:t>
      </w:r>
      <w:r w:rsidRPr="007B5A84">
        <w:rPr>
          <w:rFonts w:ascii="Times New Roman" w:eastAsia="Times New Roman" w:hAnsi="Times New Roman" w:cs="Times New Roman"/>
          <w:color w:val="000000"/>
          <w:sz w:val="20"/>
          <w:szCs w:val="20"/>
          <w:lang w:eastAsia="pt-BR"/>
        </w:rPr>
        <w:t xml:space="preserve"> em municípios do PR, SC, MG, SP e RS, coletando dados </w:t>
      </w:r>
      <w:proofErr w:type="spellStart"/>
      <w:r w:rsidRPr="007B5A84">
        <w:rPr>
          <w:rFonts w:ascii="Times New Roman" w:eastAsia="Times New Roman" w:hAnsi="Times New Roman" w:cs="Times New Roman"/>
          <w:color w:val="000000"/>
          <w:sz w:val="20"/>
          <w:szCs w:val="20"/>
          <w:lang w:eastAsia="pt-BR"/>
        </w:rPr>
        <w:t>territorializados</w:t>
      </w:r>
      <w:proofErr w:type="spellEnd"/>
      <w:r w:rsidRPr="007B5A84">
        <w:rPr>
          <w:rFonts w:ascii="Times New Roman" w:eastAsia="Times New Roman" w:hAnsi="Times New Roman" w:cs="Times New Roman"/>
          <w:color w:val="000000"/>
          <w:sz w:val="20"/>
          <w:szCs w:val="20"/>
          <w:lang w:eastAsia="pt-BR"/>
        </w:rPr>
        <w:t xml:space="preserve">, analisando indicadores e fazendo apontamentos para melhorias em políticas públicas. Dentre os vários temas abordados nos </w:t>
      </w:r>
      <w:r w:rsidRPr="007B5A84">
        <w:rPr>
          <w:rFonts w:ascii="Times New Roman" w:eastAsia="Times New Roman" w:hAnsi="Times New Roman" w:cs="Times New Roman"/>
          <w:i/>
          <w:iCs/>
          <w:color w:val="000000"/>
          <w:sz w:val="20"/>
          <w:szCs w:val="20"/>
          <w:lang w:eastAsia="pt-BR"/>
        </w:rPr>
        <w:t>Diagnósticos Sociais</w:t>
      </w:r>
      <w:r w:rsidRPr="007B5A84">
        <w:rPr>
          <w:rFonts w:ascii="Times New Roman" w:eastAsia="Times New Roman" w:hAnsi="Times New Roman" w:cs="Times New Roman"/>
          <w:color w:val="000000"/>
          <w:sz w:val="20"/>
          <w:szCs w:val="20"/>
          <w:lang w:eastAsia="pt-BR"/>
        </w:rPr>
        <w:t xml:space="preserve"> como </w:t>
      </w:r>
      <w:r w:rsidRPr="007B5A84">
        <w:rPr>
          <w:rFonts w:ascii="Times New Roman" w:eastAsia="Times New Roman" w:hAnsi="Times New Roman" w:cs="Times New Roman"/>
          <w:i/>
          <w:iCs/>
          <w:color w:val="000000"/>
          <w:sz w:val="20"/>
          <w:szCs w:val="20"/>
          <w:lang w:eastAsia="pt-BR"/>
        </w:rPr>
        <w:t>Criança e Adolescentes</w:t>
      </w:r>
      <w:r w:rsidRPr="007B5A84">
        <w:rPr>
          <w:rFonts w:ascii="Times New Roman" w:eastAsia="Times New Roman" w:hAnsi="Times New Roman" w:cs="Times New Roman"/>
          <w:color w:val="000000"/>
          <w:sz w:val="20"/>
          <w:szCs w:val="20"/>
          <w:lang w:eastAsia="pt-BR"/>
        </w:rPr>
        <w:t xml:space="preserve">, </w:t>
      </w:r>
      <w:r w:rsidRPr="007B5A84">
        <w:rPr>
          <w:rFonts w:ascii="Times New Roman" w:eastAsia="Times New Roman" w:hAnsi="Times New Roman" w:cs="Times New Roman"/>
          <w:i/>
          <w:iCs/>
          <w:color w:val="000000"/>
          <w:sz w:val="20"/>
          <w:szCs w:val="20"/>
          <w:lang w:eastAsia="pt-BR"/>
        </w:rPr>
        <w:t>Mulheres</w:t>
      </w:r>
      <w:r w:rsidRPr="007B5A84">
        <w:rPr>
          <w:rFonts w:ascii="Times New Roman" w:eastAsia="Times New Roman" w:hAnsi="Times New Roman" w:cs="Times New Roman"/>
          <w:color w:val="000000"/>
          <w:sz w:val="20"/>
          <w:szCs w:val="20"/>
          <w:lang w:eastAsia="pt-BR"/>
        </w:rPr>
        <w:t xml:space="preserve">, </w:t>
      </w:r>
      <w:r w:rsidRPr="007B5A84">
        <w:rPr>
          <w:rFonts w:ascii="Times New Roman" w:eastAsia="Times New Roman" w:hAnsi="Times New Roman" w:cs="Times New Roman"/>
          <w:i/>
          <w:iCs/>
          <w:color w:val="000000"/>
          <w:sz w:val="20"/>
          <w:szCs w:val="20"/>
          <w:lang w:eastAsia="pt-BR"/>
        </w:rPr>
        <w:t>Idosos e Pessoas com Deficiência</w:t>
      </w:r>
      <w:r w:rsidRPr="007B5A84">
        <w:rPr>
          <w:rFonts w:ascii="Times New Roman" w:eastAsia="Times New Roman" w:hAnsi="Times New Roman" w:cs="Times New Roman"/>
          <w:color w:val="000000"/>
          <w:sz w:val="20"/>
          <w:szCs w:val="20"/>
          <w:lang w:eastAsia="pt-BR"/>
        </w:rPr>
        <w:t xml:space="preserve">, desenvolvemos uma metodologia baseada no PNAS, a qual levanta 11 indicadores que mapeia a </w:t>
      </w:r>
      <w:r w:rsidRPr="007B5A84">
        <w:rPr>
          <w:rFonts w:ascii="Times New Roman" w:eastAsia="Times New Roman" w:hAnsi="Times New Roman" w:cs="Times New Roman"/>
          <w:i/>
          <w:iCs/>
          <w:color w:val="000000"/>
          <w:sz w:val="20"/>
          <w:szCs w:val="20"/>
          <w:lang w:eastAsia="pt-BR"/>
        </w:rPr>
        <w:t>Vulnerabilidade</w:t>
      </w:r>
      <w:r w:rsidRPr="007B5A84">
        <w:rPr>
          <w:rFonts w:ascii="Times New Roman" w:eastAsia="Times New Roman" w:hAnsi="Times New Roman" w:cs="Times New Roman"/>
          <w:color w:val="000000"/>
          <w:sz w:val="20"/>
          <w:szCs w:val="20"/>
          <w:lang w:eastAsia="pt-BR"/>
        </w:rPr>
        <w:t xml:space="preserve"> do município. Este, que chamamos de </w:t>
      </w:r>
      <w:r w:rsidRPr="007B5A84">
        <w:rPr>
          <w:rFonts w:ascii="Times New Roman" w:eastAsia="Times New Roman" w:hAnsi="Times New Roman" w:cs="Times New Roman"/>
          <w:i/>
          <w:iCs/>
          <w:color w:val="000000"/>
          <w:sz w:val="20"/>
          <w:szCs w:val="20"/>
          <w:lang w:eastAsia="pt-BR"/>
        </w:rPr>
        <w:t>Diagnóstico de Vulnerabilidade,</w:t>
      </w:r>
      <w:r w:rsidRPr="007B5A84">
        <w:rPr>
          <w:rFonts w:ascii="Times New Roman" w:eastAsia="Times New Roman" w:hAnsi="Times New Roman" w:cs="Times New Roman"/>
          <w:color w:val="000000"/>
          <w:sz w:val="20"/>
          <w:szCs w:val="20"/>
          <w:lang w:eastAsia="pt-BR"/>
        </w:rPr>
        <w:t xml:space="preserve"> permite também a avaliação de vários equipamentos e políticas públicas, das quais nos chama a atenção uma informação que nos surpreende a cada </w:t>
      </w:r>
      <w:r w:rsidRPr="007B5A84">
        <w:rPr>
          <w:rFonts w:ascii="Times New Roman" w:eastAsia="Times New Roman" w:hAnsi="Times New Roman" w:cs="Times New Roman"/>
          <w:i/>
          <w:iCs/>
          <w:color w:val="000000"/>
          <w:sz w:val="20"/>
          <w:szCs w:val="20"/>
          <w:lang w:eastAsia="pt-BR"/>
        </w:rPr>
        <w:t>diagnóstico</w:t>
      </w:r>
      <w:r w:rsidRPr="007B5A84">
        <w:rPr>
          <w:rFonts w:ascii="Times New Roman" w:eastAsia="Times New Roman" w:hAnsi="Times New Roman" w:cs="Times New Roman"/>
          <w:color w:val="000000"/>
          <w:sz w:val="20"/>
          <w:szCs w:val="20"/>
          <w:lang w:eastAsia="pt-BR"/>
        </w:rPr>
        <w:t xml:space="preserve"> realizado, e que vivenciamos ser uma dificuldade na rede de atendimento: o enquadramento de uma família no programa de transferência direta de renda, o Bolsa Família.</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Para que possa compartilhar desta informação, brevemente coloco a metodologia utilizada nas três pesquisas que posteriormente apresentaremos os resultados, ressaltando que não iremos identificar os municípios, apenas os Estados em que eles estão localizados. Entendemos que apesar de serem dados públicos, não é objetivo </w:t>
      </w:r>
      <w:proofErr w:type="gramStart"/>
      <w:r w:rsidRPr="007B5A84">
        <w:rPr>
          <w:rFonts w:ascii="Times New Roman" w:eastAsia="Times New Roman" w:hAnsi="Times New Roman" w:cs="Times New Roman"/>
          <w:color w:val="000000"/>
          <w:sz w:val="20"/>
          <w:szCs w:val="20"/>
          <w:lang w:eastAsia="pt-BR"/>
        </w:rPr>
        <w:t>da</w:t>
      </w:r>
      <w:proofErr w:type="gramEnd"/>
      <w:r w:rsidRPr="007B5A84">
        <w:rPr>
          <w:rFonts w:ascii="Times New Roman" w:eastAsia="Times New Roman" w:hAnsi="Times New Roman" w:cs="Times New Roman"/>
          <w:color w:val="000000"/>
          <w:sz w:val="20"/>
          <w:szCs w:val="20"/>
          <w:lang w:eastAsia="pt-BR"/>
        </w:rPr>
        <w:t xml:space="preserve"> Painel Instituto de Pesquisas levantar polêmicas pontuais, mas sim colocar em pauta uma dificuldade que provavelmente a maioria dos municípios vivência.</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i/>
          <w:iCs/>
          <w:color w:val="000000"/>
          <w:sz w:val="20"/>
          <w:szCs w:val="20"/>
          <w:lang w:eastAsia="pt-BR"/>
        </w:rPr>
        <w:t>Metodologia aplicada em cada município</w:t>
      </w:r>
      <w:r w:rsidRPr="007B5A84">
        <w:rPr>
          <w:rFonts w:ascii="Times New Roman" w:eastAsia="Times New Roman" w:hAnsi="Times New Roman" w:cs="Times New Roman"/>
          <w:color w:val="000000"/>
          <w:sz w:val="20"/>
          <w:szCs w:val="20"/>
          <w:lang w:eastAsia="pt-BR"/>
        </w:rPr>
        <w:t xml:space="preserve">: </w:t>
      </w:r>
    </w:p>
    <w:p w:rsidR="007B5A84" w:rsidRPr="007B5A84" w:rsidRDefault="007B5A84" w:rsidP="007B5A84">
      <w:pPr>
        <w:numPr>
          <w:ilvl w:val="0"/>
          <w:numId w:val="2"/>
        </w:numPr>
        <w:spacing w:before="100" w:beforeAutospacing="1" w:after="0" w:line="240" w:lineRule="auto"/>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lang w:eastAsia="pt-BR"/>
        </w:rPr>
        <w:t>Pesquisa quantitativa amostral por domicílio estratificada por setores censitários do IBGE, com 95% de confiança e margem de erro variando de município para município, mas não ultrapassando 3,6%;</w:t>
      </w:r>
    </w:p>
    <w:p w:rsidR="007B5A84" w:rsidRPr="007B5A84" w:rsidRDefault="007B5A84" w:rsidP="007B5A84">
      <w:pPr>
        <w:numPr>
          <w:ilvl w:val="0"/>
          <w:numId w:val="2"/>
        </w:numPr>
        <w:spacing w:before="100" w:beforeAutospacing="1" w:after="0" w:line="240" w:lineRule="auto"/>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color w:val="000000"/>
          <w:lang w:eastAsia="pt-BR"/>
        </w:rPr>
        <w:t>Questionário desenvolvido em cima de indicadores de vulnerabilidade, o qual tem dentre todas as perguntas as seguintes:</w:t>
      </w:r>
    </w:p>
    <w:p w:rsidR="007B5A84" w:rsidRPr="007B5A84" w:rsidRDefault="007B5A84" w:rsidP="007B5A84">
      <w:pPr>
        <w:numPr>
          <w:ilvl w:val="1"/>
          <w:numId w:val="3"/>
        </w:numPr>
        <w:spacing w:before="100" w:beforeAutospacing="1" w:after="0" w:line="240" w:lineRule="auto"/>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i/>
          <w:iCs/>
          <w:color w:val="000000"/>
          <w:lang w:eastAsia="pt-BR"/>
        </w:rPr>
        <w:t>Qual o rendimento mensal total da família?</w:t>
      </w:r>
    </w:p>
    <w:p w:rsidR="007B5A84" w:rsidRPr="007B5A84" w:rsidRDefault="007B5A84" w:rsidP="007B5A84">
      <w:pPr>
        <w:numPr>
          <w:ilvl w:val="1"/>
          <w:numId w:val="3"/>
        </w:numPr>
        <w:spacing w:before="100" w:beforeAutospacing="1" w:after="0" w:line="240" w:lineRule="auto"/>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i/>
          <w:iCs/>
          <w:color w:val="000000"/>
          <w:lang w:eastAsia="pt-BR"/>
        </w:rPr>
        <w:t>Qual o número de pessoas da família?</w:t>
      </w:r>
    </w:p>
    <w:p w:rsidR="007B5A84" w:rsidRPr="007B5A84" w:rsidRDefault="007B5A84" w:rsidP="007B5A84">
      <w:pPr>
        <w:numPr>
          <w:ilvl w:val="1"/>
          <w:numId w:val="3"/>
        </w:numPr>
        <w:spacing w:before="100" w:beforeAutospacing="1" w:after="0" w:line="240" w:lineRule="auto"/>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i/>
          <w:iCs/>
          <w:color w:val="000000"/>
          <w:lang w:eastAsia="pt-BR"/>
        </w:rPr>
        <w:t>Algum integrante da família é beneficiário de algum programa de transferência de renda ou outro benefício? Se sim, qual?</w:t>
      </w:r>
    </w:p>
    <w:p w:rsidR="007B5A84" w:rsidRPr="007B5A84" w:rsidRDefault="007B5A84" w:rsidP="007B5A84">
      <w:pPr>
        <w:numPr>
          <w:ilvl w:val="1"/>
          <w:numId w:val="3"/>
        </w:numPr>
        <w:spacing w:before="100" w:beforeAutospacing="1" w:after="0" w:line="240" w:lineRule="auto"/>
        <w:jc w:val="both"/>
        <w:rPr>
          <w:rFonts w:ascii="Times New Roman" w:eastAsia="Times New Roman" w:hAnsi="Times New Roman" w:cs="Times New Roman"/>
          <w:color w:val="000000"/>
          <w:sz w:val="24"/>
          <w:szCs w:val="24"/>
          <w:lang w:eastAsia="pt-BR"/>
        </w:rPr>
      </w:pPr>
      <w:r w:rsidRPr="007B5A84">
        <w:rPr>
          <w:rFonts w:ascii="Times New Roman" w:eastAsia="Times New Roman" w:hAnsi="Times New Roman" w:cs="Times New Roman"/>
          <w:i/>
          <w:iCs/>
          <w:color w:val="000000"/>
          <w:lang w:eastAsia="pt-BR"/>
        </w:rPr>
        <w:t>E, várias perguntas baseadas no Critério Brasil</w:t>
      </w:r>
      <w:bookmarkStart w:id="4" w:name="sdfootnote1anc"/>
      <w:r w:rsidRPr="007B5A84">
        <w:rPr>
          <w:rFonts w:ascii="Times New Roman" w:eastAsia="Times New Roman" w:hAnsi="Times New Roman" w:cs="Times New Roman"/>
          <w:i/>
          <w:iCs/>
          <w:color w:val="000000"/>
          <w:vertAlign w:val="superscript"/>
          <w:lang w:eastAsia="pt-BR"/>
        </w:rPr>
        <w:fldChar w:fldCharType="begin"/>
      </w:r>
      <w:r w:rsidRPr="007B5A84">
        <w:rPr>
          <w:rFonts w:ascii="Times New Roman" w:eastAsia="Times New Roman" w:hAnsi="Times New Roman" w:cs="Times New Roman"/>
          <w:i/>
          <w:iCs/>
          <w:color w:val="000000"/>
          <w:vertAlign w:val="superscript"/>
          <w:lang w:eastAsia="pt-BR"/>
        </w:rPr>
        <w:instrText xml:space="preserve"> HYPERLINK "" \l "sdfootnote1sym" </w:instrText>
      </w:r>
      <w:r w:rsidRPr="007B5A84">
        <w:rPr>
          <w:rFonts w:ascii="Times New Roman" w:eastAsia="Times New Roman" w:hAnsi="Times New Roman" w:cs="Times New Roman"/>
          <w:i/>
          <w:iCs/>
          <w:color w:val="000000"/>
          <w:vertAlign w:val="superscript"/>
          <w:lang w:eastAsia="pt-BR"/>
        </w:rPr>
        <w:fldChar w:fldCharType="separate"/>
      </w:r>
      <w:r w:rsidRPr="007B5A84">
        <w:rPr>
          <w:rFonts w:ascii="Times New Roman" w:eastAsia="Times New Roman" w:hAnsi="Times New Roman" w:cs="Times New Roman"/>
          <w:i/>
          <w:iCs/>
          <w:color w:val="0000FF"/>
          <w:sz w:val="13"/>
          <w:szCs w:val="13"/>
          <w:u w:val="single"/>
          <w:vertAlign w:val="superscript"/>
          <w:lang w:eastAsia="pt-BR"/>
        </w:rPr>
        <w:t>1</w:t>
      </w:r>
      <w:r w:rsidRPr="007B5A84">
        <w:rPr>
          <w:rFonts w:ascii="Times New Roman" w:eastAsia="Times New Roman" w:hAnsi="Times New Roman" w:cs="Times New Roman"/>
          <w:i/>
          <w:iCs/>
          <w:color w:val="000000"/>
          <w:vertAlign w:val="superscript"/>
          <w:lang w:eastAsia="pt-BR"/>
        </w:rPr>
        <w:fldChar w:fldCharType="end"/>
      </w:r>
      <w:bookmarkEnd w:id="4"/>
      <w:r w:rsidRPr="007B5A84">
        <w:rPr>
          <w:rFonts w:ascii="Times New Roman" w:eastAsia="Times New Roman" w:hAnsi="Times New Roman" w:cs="Times New Roman"/>
          <w:i/>
          <w:iCs/>
          <w:color w:val="000000"/>
          <w:lang w:eastAsia="pt-BR"/>
        </w:rPr>
        <w:t xml:space="preserve"> para classificação social das famílias conforme características e itens do domicílio (quantidade de: banheiro, automóvel, geladeira, empregada mensalista, DVD, máquina de lavar, etc.).</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Com as duas primeiras perguntas pode-se levantar se a família é </w:t>
      </w:r>
      <w:r w:rsidRPr="007B5A84">
        <w:rPr>
          <w:rFonts w:ascii="Times New Roman" w:eastAsia="Times New Roman" w:hAnsi="Times New Roman" w:cs="Times New Roman"/>
          <w:i/>
          <w:iCs/>
          <w:color w:val="000000"/>
          <w:sz w:val="20"/>
          <w:szCs w:val="20"/>
          <w:lang w:eastAsia="pt-BR"/>
        </w:rPr>
        <w:t>público alvo</w:t>
      </w:r>
      <w:r w:rsidRPr="007B5A84">
        <w:rPr>
          <w:rFonts w:ascii="Times New Roman" w:eastAsia="Times New Roman" w:hAnsi="Times New Roman" w:cs="Times New Roman"/>
          <w:color w:val="000000"/>
          <w:sz w:val="20"/>
          <w:szCs w:val="20"/>
          <w:lang w:eastAsia="pt-BR"/>
        </w:rPr>
        <w:t xml:space="preserve"> do programa de transferência de renda direta Bolsa Família; com a terceira pergunta pode-se avaliar se ela recebe o benefício; o </w:t>
      </w:r>
      <w:r w:rsidRPr="007B5A84">
        <w:rPr>
          <w:rFonts w:ascii="Times New Roman" w:eastAsia="Times New Roman" w:hAnsi="Times New Roman" w:cs="Times New Roman"/>
          <w:color w:val="000000"/>
          <w:sz w:val="20"/>
          <w:szCs w:val="20"/>
          <w:lang w:eastAsia="pt-BR"/>
        </w:rPr>
        <w:lastRenderedPageBreak/>
        <w:t>cruzamento das três primeiras perguntas avalia se o programa está atingindo realmente o público alvo; e ainda, na quinta pergunta, pode-se avaliar em que classe social a família beneficiada se enquadra conforme características e itens que possuem no domicílio.</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Ressalta-se que esta análise amostral dos beneficiários do Bolsa Família se tornou padrão do </w:t>
      </w:r>
      <w:r w:rsidRPr="007B5A84">
        <w:rPr>
          <w:rFonts w:ascii="Times New Roman" w:eastAsia="Times New Roman" w:hAnsi="Times New Roman" w:cs="Times New Roman"/>
          <w:i/>
          <w:iCs/>
          <w:color w:val="000000"/>
          <w:sz w:val="20"/>
          <w:szCs w:val="20"/>
          <w:lang w:eastAsia="pt-BR"/>
        </w:rPr>
        <w:t>Diagnóstico de Vulnerabilidade</w:t>
      </w:r>
      <w:r w:rsidRPr="007B5A84">
        <w:rPr>
          <w:rFonts w:ascii="Times New Roman" w:eastAsia="Times New Roman" w:hAnsi="Times New Roman" w:cs="Times New Roman"/>
          <w:color w:val="000000"/>
          <w:sz w:val="20"/>
          <w:szCs w:val="20"/>
          <w:lang w:eastAsia="pt-BR"/>
        </w:rPr>
        <w:t xml:space="preserve"> após a Secretaria Municipal da Assistência Social de um município a solicitar, pois ela tinha a percepção de que uma parte dos beneficiados do programa de transferência de renda não se enquadravam nas exigências, pois omitiam a renda.</w:t>
      </w:r>
    </w:p>
    <w:p w:rsidR="0048319F" w:rsidRDefault="0048319F" w:rsidP="0048319F">
      <w:pPr>
        <w:pStyle w:val="sdfootnote-western"/>
      </w:pPr>
      <w:r>
        <w:rPr>
          <w:sz w:val="16"/>
          <w:szCs w:val="16"/>
        </w:rPr>
        <w:t xml:space="preserve">A metodologia de desenvolvimento do Critério Brasil está descrita no livro Estratificação Socioeconômica e Consumo no Brasil dos professores Wagner </w:t>
      </w:r>
      <w:proofErr w:type="spellStart"/>
      <w:r>
        <w:rPr>
          <w:sz w:val="16"/>
          <w:szCs w:val="16"/>
        </w:rPr>
        <w:t>Kamakura</w:t>
      </w:r>
      <w:proofErr w:type="spellEnd"/>
      <w:r>
        <w:rPr>
          <w:sz w:val="16"/>
          <w:szCs w:val="16"/>
        </w:rPr>
        <w:t xml:space="preserve"> (Rice </w:t>
      </w:r>
      <w:proofErr w:type="spellStart"/>
      <w:r>
        <w:rPr>
          <w:sz w:val="16"/>
          <w:szCs w:val="16"/>
        </w:rPr>
        <w:t>University</w:t>
      </w:r>
      <w:proofErr w:type="spellEnd"/>
      <w:r>
        <w:rPr>
          <w:sz w:val="16"/>
          <w:szCs w:val="16"/>
        </w:rPr>
        <w:t xml:space="preserve">) e José Afonso </w:t>
      </w:r>
      <w:proofErr w:type="spellStart"/>
      <w:r>
        <w:rPr>
          <w:sz w:val="16"/>
          <w:szCs w:val="16"/>
        </w:rPr>
        <w:t>Mazzon</w:t>
      </w:r>
      <w:proofErr w:type="spellEnd"/>
      <w:r>
        <w:rPr>
          <w:sz w:val="16"/>
          <w:szCs w:val="16"/>
        </w:rPr>
        <w:t xml:space="preserve"> (FEA /USP), baseado na Pesquisa de Orçamento Familiar (POF) do IBGE, que também pode ser apreciada no link </w:t>
      </w:r>
      <w:hyperlink r:id="rId11" w:history="1">
        <w:r>
          <w:rPr>
            <w:rStyle w:val="Hyperlink"/>
            <w:sz w:val="12"/>
            <w:szCs w:val="12"/>
          </w:rPr>
          <w:t>file:///C:/Users/Sony%20Vaio/Downloads/01_cceb_2016_11_04_16_final%20(1).pdf</w:t>
        </w:r>
      </w:hyperlink>
      <w:r>
        <w:rPr>
          <w:sz w:val="12"/>
          <w:szCs w:val="12"/>
        </w:rPr>
        <w:t>.</w:t>
      </w:r>
      <w:r>
        <w:rPr>
          <w:sz w:val="16"/>
          <w:szCs w:val="16"/>
        </w:rPr>
        <w:t xml:space="preserve"> </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i/>
          <w:iCs/>
          <w:color w:val="000000"/>
          <w:sz w:val="20"/>
          <w:szCs w:val="20"/>
          <w:lang w:eastAsia="pt-BR"/>
        </w:rPr>
        <w:t>Lembrando rapidamente os requisitos do programa:</w:t>
      </w:r>
      <w:r w:rsidRPr="007B5A84">
        <w:rPr>
          <w:rFonts w:ascii="Times New Roman" w:eastAsia="Times New Roman" w:hAnsi="Times New Roman" w:cs="Times New Roman"/>
          <w:color w:val="000000"/>
          <w:sz w:val="20"/>
          <w:szCs w:val="20"/>
          <w:lang w:eastAsia="pt-BR"/>
        </w:rPr>
        <w:t xml:space="preserve"> A população alvo do programa é constituída por famílias em situação de pobreza ou extrema pobreza. As famílias extremamente pobres são aquelas que têm renda mensal de até R$ 77,00 por pessoa. As famílias pobres são aquelas que têm renda mensal entre R$ 77,01 e R$ 154,00 por pessoa, estas participam do programa, desde que tenham em sua composição gestantes e crianças ou adolescentes entre 0 e 17 anos.</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i/>
          <w:iCs/>
          <w:color w:val="000000"/>
          <w:sz w:val="20"/>
          <w:szCs w:val="20"/>
          <w:lang w:eastAsia="pt-BR"/>
        </w:rPr>
        <w:t xml:space="preserve">Análise: </w:t>
      </w:r>
      <w:r w:rsidRPr="007B5A84">
        <w:rPr>
          <w:rFonts w:ascii="Times New Roman" w:eastAsia="Times New Roman" w:hAnsi="Times New Roman" w:cs="Times New Roman"/>
          <w:color w:val="000000"/>
          <w:sz w:val="20"/>
          <w:szCs w:val="20"/>
          <w:lang w:eastAsia="pt-BR"/>
        </w:rPr>
        <w:t>A Tabela 01 mostra que nos três municípios, a grande maioria das famílias beneficiadas pelo programa Bolsa Família não se enquadram nos requisitos do programa. O município mais crítico é o do RS, o qual apenas 1 família, pela pesquisa, atendeu os requisitos do programa.</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Tabela 01: Análise da renda per capita das famílias beneficiadas</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roofErr w:type="gramStart"/>
      <w:r w:rsidRPr="007B5A84">
        <w:rPr>
          <w:rFonts w:ascii="Times New Roman" w:eastAsia="Times New Roman" w:hAnsi="Times New Roman" w:cs="Times New Roman"/>
          <w:b/>
          <w:bCs/>
          <w:color w:val="000000"/>
          <w:sz w:val="20"/>
          <w:szCs w:val="20"/>
          <w:lang w:eastAsia="pt-BR"/>
        </w:rPr>
        <w:t>pelo</w:t>
      </w:r>
      <w:proofErr w:type="gramEnd"/>
      <w:r w:rsidRPr="007B5A84">
        <w:rPr>
          <w:rFonts w:ascii="Times New Roman" w:eastAsia="Times New Roman" w:hAnsi="Times New Roman" w:cs="Times New Roman"/>
          <w:b/>
          <w:bCs/>
          <w:color w:val="000000"/>
          <w:sz w:val="20"/>
          <w:szCs w:val="20"/>
          <w:lang w:eastAsia="pt-BR"/>
        </w:rPr>
        <w:t xml:space="preserve"> Bolsa Família entrevistadas na pesquisa amostral</w:t>
      </w:r>
    </w:p>
    <w:tbl>
      <w:tblPr>
        <w:tblW w:w="8400" w:type="dxa"/>
        <w:tblCellSpacing w:w="0" w:type="dxa"/>
        <w:tblCellMar>
          <w:top w:w="75" w:type="dxa"/>
          <w:left w:w="75" w:type="dxa"/>
          <w:bottom w:w="75" w:type="dxa"/>
          <w:right w:w="75" w:type="dxa"/>
        </w:tblCellMar>
        <w:tblLook w:val="04A0" w:firstRow="1" w:lastRow="0" w:firstColumn="1" w:lastColumn="0" w:noHBand="0" w:noVBand="1"/>
      </w:tblPr>
      <w:tblGrid>
        <w:gridCol w:w="3204"/>
        <w:gridCol w:w="793"/>
        <w:gridCol w:w="939"/>
        <w:gridCol w:w="793"/>
        <w:gridCol w:w="939"/>
        <w:gridCol w:w="793"/>
        <w:gridCol w:w="939"/>
      </w:tblGrid>
      <w:tr w:rsidR="007B5A84" w:rsidRPr="007B5A84" w:rsidTr="007B5A84">
        <w:trPr>
          <w:trHeight w:val="90"/>
          <w:tblCellSpacing w:w="0" w:type="dxa"/>
        </w:trPr>
        <w:tc>
          <w:tcPr>
            <w:tcW w:w="2970" w:type="dxa"/>
            <w:tcBorders>
              <w:top w:val="single" w:sz="6" w:space="0" w:color="000000"/>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Estado</w:t>
            </w:r>
          </w:p>
        </w:tc>
        <w:tc>
          <w:tcPr>
            <w:tcW w:w="1605" w:type="dxa"/>
            <w:gridSpan w:val="2"/>
            <w:tcBorders>
              <w:top w:val="single" w:sz="6" w:space="0" w:color="000000"/>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PR</w:t>
            </w:r>
          </w:p>
        </w:tc>
        <w:tc>
          <w:tcPr>
            <w:tcW w:w="1605" w:type="dxa"/>
            <w:gridSpan w:val="2"/>
            <w:tcBorders>
              <w:top w:val="single" w:sz="6" w:space="0" w:color="000000"/>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RS</w:t>
            </w:r>
          </w:p>
        </w:tc>
        <w:tc>
          <w:tcPr>
            <w:tcW w:w="1605" w:type="dxa"/>
            <w:gridSpan w:val="2"/>
            <w:tcBorders>
              <w:top w:val="single" w:sz="6" w:space="0" w:color="000000"/>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MG</w:t>
            </w:r>
          </w:p>
        </w:tc>
      </w:tr>
      <w:tr w:rsidR="007B5A84" w:rsidRPr="007B5A84" w:rsidTr="007B5A84">
        <w:trPr>
          <w:trHeight w:val="150"/>
          <w:tblCellSpacing w:w="0" w:type="dxa"/>
        </w:trPr>
        <w:tc>
          <w:tcPr>
            <w:tcW w:w="2970"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População estimada 2015</w:t>
            </w:r>
            <w:r w:rsidRPr="007B5A84">
              <w:rPr>
                <w:rFonts w:ascii="Times New Roman" w:eastAsia="Times New Roman" w:hAnsi="Times New Roman" w:cs="Times New Roman"/>
                <w:b/>
                <w:bCs/>
                <w:color w:val="000000"/>
                <w:sz w:val="20"/>
                <w:szCs w:val="20"/>
                <w:vertAlign w:val="superscript"/>
                <w:lang w:eastAsia="pt-BR"/>
              </w:rPr>
              <w:t xml:space="preserve"> (2)</w:t>
            </w:r>
          </w:p>
        </w:tc>
        <w:tc>
          <w:tcPr>
            <w:tcW w:w="1605" w:type="dxa"/>
            <w:gridSpan w:val="2"/>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5.976 habitantes</w:t>
            </w:r>
          </w:p>
        </w:tc>
        <w:tc>
          <w:tcPr>
            <w:tcW w:w="1605" w:type="dxa"/>
            <w:gridSpan w:val="2"/>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29.196 habitantes</w:t>
            </w:r>
          </w:p>
        </w:tc>
        <w:tc>
          <w:tcPr>
            <w:tcW w:w="1605" w:type="dxa"/>
            <w:gridSpan w:val="2"/>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21.735 habitantes</w:t>
            </w:r>
          </w:p>
        </w:tc>
      </w:tr>
      <w:tr w:rsidR="007B5A84" w:rsidRPr="007B5A84" w:rsidTr="007B5A84">
        <w:trPr>
          <w:trHeight w:val="150"/>
          <w:tblCellSpacing w:w="0" w:type="dxa"/>
        </w:trPr>
        <w:tc>
          <w:tcPr>
            <w:tcW w:w="2970"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Domicílios</w:t>
            </w:r>
            <w:r w:rsidRPr="007B5A84">
              <w:rPr>
                <w:rFonts w:ascii="Times New Roman" w:eastAsia="Times New Roman" w:hAnsi="Times New Roman" w:cs="Times New Roman"/>
                <w:b/>
                <w:bCs/>
                <w:color w:val="000000"/>
                <w:sz w:val="20"/>
                <w:szCs w:val="20"/>
                <w:vertAlign w:val="superscript"/>
                <w:lang w:eastAsia="pt-BR"/>
              </w:rPr>
              <w:t xml:space="preserve"> (2)</w:t>
            </w:r>
          </w:p>
        </w:tc>
        <w:tc>
          <w:tcPr>
            <w:tcW w:w="1605" w:type="dxa"/>
            <w:gridSpan w:val="2"/>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1.771 domicílios</w:t>
            </w:r>
          </w:p>
        </w:tc>
        <w:tc>
          <w:tcPr>
            <w:tcW w:w="1605" w:type="dxa"/>
            <w:gridSpan w:val="2"/>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8.808 domicílios</w:t>
            </w:r>
          </w:p>
        </w:tc>
        <w:tc>
          <w:tcPr>
            <w:tcW w:w="1605" w:type="dxa"/>
            <w:gridSpan w:val="2"/>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6.299 domicílios</w:t>
            </w:r>
          </w:p>
        </w:tc>
      </w:tr>
      <w:tr w:rsidR="007B5A84" w:rsidRPr="007B5A84" w:rsidTr="007B5A84">
        <w:trPr>
          <w:trHeight w:val="105"/>
          <w:tblCellSpacing w:w="0" w:type="dxa"/>
        </w:trPr>
        <w:tc>
          <w:tcPr>
            <w:tcW w:w="2970"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Amostra (Domicílios entrevistados)</w:t>
            </w:r>
          </w:p>
        </w:tc>
        <w:tc>
          <w:tcPr>
            <w:tcW w:w="1605" w:type="dxa"/>
            <w:gridSpan w:val="2"/>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528 domicílios</w:t>
            </w:r>
          </w:p>
        </w:tc>
        <w:tc>
          <w:tcPr>
            <w:tcW w:w="1605" w:type="dxa"/>
            <w:gridSpan w:val="2"/>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739 domicílios</w:t>
            </w:r>
          </w:p>
        </w:tc>
        <w:tc>
          <w:tcPr>
            <w:tcW w:w="1605" w:type="dxa"/>
            <w:gridSpan w:val="2"/>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1.500 domicílios</w:t>
            </w:r>
          </w:p>
        </w:tc>
      </w:tr>
      <w:tr w:rsidR="007B5A84" w:rsidRPr="007B5A84" w:rsidTr="007B5A84">
        <w:trPr>
          <w:trHeight w:val="105"/>
          <w:tblCellSpacing w:w="0" w:type="dxa"/>
        </w:trPr>
        <w:tc>
          <w:tcPr>
            <w:tcW w:w="2970"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Faixa de renda per capita</w:t>
            </w:r>
          </w:p>
        </w:tc>
        <w:tc>
          <w:tcPr>
            <w:tcW w:w="73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Quant.</w:t>
            </w:r>
          </w:p>
        </w:tc>
        <w:tc>
          <w:tcPr>
            <w:tcW w:w="73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w:t>
            </w:r>
          </w:p>
        </w:tc>
        <w:tc>
          <w:tcPr>
            <w:tcW w:w="73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Quant.</w:t>
            </w:r>
          </w:p>
        </w:tc>
        <w:tc>
          <w:tcPr>
            <w:tcW w:w="73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w:t>
            </w:r>
          </w:p>
        </w:tc>
        <w:tc>
          <w:tcPr>
            <w:tcW w:w="73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Quant.</w:t>
            </w:r>
          </w:p>
        </w:tc>
        <w:tc>
          <w:tcPr>
            <w:tcW w:w="73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w:t>
            </w:r>
          </w:p>
        </w:tc>
      </w:tr>
      <w:tr w:rsidR="007B5A84" w:rsidRPr="007B5A84" w:rsidTr="007B5A84">
        <w:trPr>
          <w:trHeight w:val="105"/>
          <w:tblCellSpacing w:w="0" w:type="dxa"/>
        </w:trPr>
        <w:tc>
          <w:tcPr>
            <w:tcW w:w="2970" w:type="dxa"/>
            <w:tcBorders>
              <w:top w:val="nil"/>
              <w:left w:val="nil"/>
              <w:bottom w:val="nil"/>
              <w:right w:val="nil"/>
            </w:tcBorders>
            <w:shd w:val="clear" w:color="auto" w:fill="FDE9D9"/>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Abaixo de R$ 77</w:t>
            </w:r>
          </w:p>
        </w:tc>
        <w:tc>
          <w:tcPr>
            <w:tcW w:w="735" w:type="dxa"/>
            <w:tcBorders>
              <w:top w:val="nil"/>
              <w:left w:val="single" w:sz="6" w:space="0" w:color="000000"/>
              <w:bottom w:val="nil"/>
              <w:right w:val="nil"/>
            </w:tcBorders>
            <w:shd w:val="clear" w:color="auto" w:fill="FDE9D9"/>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6</w:t>
            </w:r>
          </w:p>
        </w:tc>
        <w:tc>
          <w:tcPr>
            <w:tcW w:w="735" w:type="dxa"/>
            <w:tcBorders>
              <w:top w:val="nil"/>
              <w:left w:val="nil"/>
              <w:bottom w:val="nil"/>
              <w:right w:val="nil"/>
            </w:tcBorders>
            <w:shd w:val="clear" w:color="auto" w:fill="FDE9D9"/>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11,1%</w:t>
            </w:r>
          </w:p>
        </w:tc>
        <w:tc>
          <w:tcPr>
            <w:tcW w:w="735" w:type="dxa"/>
            <w:tcBorders>
              <w:top w:val="nil"/>
              <w:left w:val="single" w:sz="6" w:space="0" w:color="000000"/>
              <w:bottom w:val="nil"/>
              <w:right w:val="nil"/>
            </w:tcBorders>
            <w:shd w:val="clear" w:color="auto" w:fill="FDE9D9"/>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0</w:t>
            </w:r>
          </w:p>
        </w:tc>
        <w:tc>
          <w:tcPr>
            <w:tcW w:w="735" w:type="dxa"/>
            <w:tcBorders>
              <w:top w:val="nil"/>
              <w:left w:val="nil"/>
              <w:bottom w:val="nil"/>
              <w:right w:val="nil"/>
            </w:tcBorders>
            <w:shd w:val="clear" w:color="auto" w:fill="FDE9D9"/>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0,0%</w:t>
            </w:r>
          </w:p>
        </w:tc>
        <w:tc>
          <w:tcPr>
            <w:tcW w:w="735" w:type="dxa"/>
            <w:tcBorders>
              <w:top w:val="nil"/>
              <w:left w:val="single" w:sz="6" w:space="0" w:color="000000"/>
              <w:bottom w:val="nil"/>
              <w:right w:val="nil"/>
            </w:tcBorders>
            <w:shd w:val="clear" w:color="auto" w:fill="FDE9D9"/>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15</w:t>
            </w:r>
          </w:p>
        </w:tc>
        <w:tc>
          <w:tcPr>
            <w:tcW w:w="735" w:type="dxa"/>
            <w:tcBorders>
              <w:top w:val="nil"/>
              <w:left w:val="nil"/>
              <w:bottom w:val="nil"/>
              <w:right w:val="nil"/>
            </w:tcBorders>
            <w:shd w:val="clear" w:color="auto" w:fill="FDE9D9"/>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12,8%</w:t>
            </w:r>
          </w:p>
        </w:tc>
      </w:tr>
      <w:tr w:rsidR="007B5A84" w:rsidRPr="007B5A84" w:rsidTr="007B5A84">
        <w:trPr>
          <w:trHeight w:val="105"/>
          <w:tblCellSpacing w:w="0" w:type="dxa"/>
        </w:trPr>
        <w:tc>
          <w:tcPr>
            <w:tcW w:w="2970" w:type="dxa"/>
            <w:tcBorders>
              <w:top w:val="nil"/>
              <w:left w:val="nil"/>
              <w:bottom w:val="nil"/>
              <w:right w:val="nil"/>
            </w:tcBorders>
            <w:shd w:val="clear" w:color="auto" w:fill="FDE9D9"/>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Entre R$ 77,01 a R$ 154</w:t>
            </w:r>
          </w:p>
        </w:tc>
        <w:tc>
          <w:tcPr>
            <w:tcW w:w="735" w:type="dxa"/>
            <w:tcBorders>
              <w:top w:val="nil"/>
              <w:left w:val="single" w:sz="6" w:space="0" w:color="000000"/>
              <w:bottom w:val="nil"/>
              <w:right w:val="nil"/>
            </w:tcBorders>
            <w:shd w:val="clear" w:color="auto" w:fill="FDE9D9"/>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6</w:t>
            </w:r>
          </w:p>
        </w:tc>
        <w:tc>
          <w:tcPr>
            <w:tcW w:w="735" w:type="dxa"/>
            <w:tcBorders>
              <w:top w:val="nil"/>
              <w:left w:val="nil"/>
              <w:bottom w:val="nil"/>
              <w:right w:val="nil"/>
            </w:tcBorders>
            <w:shd w:val="clear" w:color="auto" w:fill="FDE9D9"/>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11,1%</w:t>
            </w:r>
          </w:p>
        </w:tc>
        <w:tc>
          <w:tcPr>
            <w:tcW w:w="735" w:type="dxa"/>
            <w:tcBorders>
              <w:top w:val="nil"/>
              <w:left w:val="single" w:sz="6" w:space="0" w:color="000000"/>
              <w:bottom w:val="nil"/>
              <w:right w:val="nil"/>
            </w:tcBorders>
            <w:shd w:val="clear" w:color="auto" w:fill="FDE9D9"/>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w:t>
            </w:r>
          </w:p>
        </w:tc>
        <w:tc>
          <w:tcPr>
            <w:tcW w:w="735" w:type="dxa"/>
            <w:tcBorders>
              <w:top w:val="nil"/>
              <w:left w:val="nil"/>
              <w:bottom w:val="nil"/>
              <w:right w:val="nil"/>
            </w:tcBorders>
            <w:shd w:val="clear" w:color="auto" w:fill="FDE9D9"/>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4,8%</w:t>
            </w:r>
          </w:p>
        </w:tc>
        <w:tc>
          <w:tcPr>
            <w:tcW w:w="735" w:type="dxa"/>
            <w:tcBorders>
              <w:top w:val="nil"/>
              <w:left w:val="single" w:sz="6" w:space="0" w:color="000000"/>
              <w:bottom w:val="nil"/>
              <w:right w:val="nil"/>
            </w:tcBorders>
            <w:shd w:val="clear" w:color="auto" w:fill="FDE9D9"/>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26</w:t>
            </w:r>
          </w:p>
        </w:tc>
        <w:tc>
          <w:tcPr>
            <w:tcW w:w="735" w:type="dxa"/>
            <w:tcBorders>
              <w:top w:val="nil"/>
              <w:left w:val="nil"/>
              <w:bottom w:val="nil"/>
              <w:right w:val="nil"/>
            </w:tcBorders>
            <w:shd w:val="clear" w:color="auto" w:fill="FDE9D9"/>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22,2%</w:t>
            </w:r>
          </w:p>
        </w:tc>
      </w:tr>
      <w:tr w:rsidR="007B5A84" w:rsidRPr="007B5A84" w:rsidTr="007B5A84">
        <w:trPr>
          <w:trHeight w:val="105"/>
          <w:tblCellSpacing w:w="0" w:type="dxa"/>
        </w:trPr>
        <w:tc>
          <w:tcPr>
            <w:tcW w:w="2970"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Entre R$ 154,01 a R$ 200</w:t>
            </w:r>
          </w:p>
        </w:tc>
        <w:tc>
          <w:tcPr>
            <w:tcW w:w="73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w:t>
            </w:r>
          </w:p>
        </w:tc>
        <w:tc>
          <w:tcPr>
            <w:tcW w:w="73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3,7%</w:t>
            </w:r>
          </w:p>
        </w:tc>
        <w:tc>
          <w:tcPr>
            <w:tcW w:w="73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4</w:t>
            </w:r>
          </w:p>
        </w:tc>
        <w:tc>
          <w:tcPr>
            <w:tcW w:w="73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19,0%</w:t>
            </w:r>
          </w:p>
        </w:tc>
        <w:tc>
          <w:tcPr>
            <w:tcW w:w="73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17</w:t>
            </w:r>
          </w:p>
        </w:tc>
        <w:tc>
          <w:tcPr>
            <w:tcW w:w="73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14,5%</w:t>
            </w:r>
          </w:p>
        </w:tc>
      </w:tr>
      <w:tr w:rsidR="007B5A84" w:rsidRPr="007B5A84" w:rsidTr="007B5A84">
        <w:trPr>
          <w:trHeight w:val="105"/>
          <w:tblCellSpacing w:w="0" w:type="dxa"/>
        </w:trPr>
        <w:tc>
          <w:tcPr>
            <w:tcW w:w="2970"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Entre R$ 200,01 a R$ 300</w:t>
            </w:r>
          </w:p>
        </w:tc>
        <w:tc>
          <w:tcPr>
            <w:tcW w:w="73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16</w:t>
            </w:r>
          </w:p>
        </w:tc>
        <w:tc>
          <w:tcPr>
            <w:tcW w:w="73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29,6%</w:t>
            </w:r>
          </w:p>
        </w:tc>
        <w:tc>
          <w:tcPr>
            <w:tcW w:w="73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5</w:t>
            </w:r>
          </w:p>
        </w:tc>
        <w:tc>
          <w:tcPr>
            <w:tcW w:w="73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23,8%</w:t>
            </w:r>
          </w:p>
        </w:tc>
        <w:tc>
          <w:tcPr>
            <w:tcW w:w="73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38</w:t>
            </w:r>
          </w:p>
        </w:tc>
        <w:tc>
          <w:tcPr>
            <w:tcW w:w="73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32,5%</w:t>
            </w:r>
          </w:p>
        </w:tc>
      </w:tr>
      <w:tr w:rsidR="007B5A84" w:rsidRPr="007B5A84" w:rsidTr="007B5A84">
        <w:trPr>
          <w:trHeight w:val="105"/>
          <w:tblCellSpacing w:w="0" w:type="dxa"/>
        </w:trPr>
        <w:tc>
          <w:tcPr>
            <w:tcW w:w="2970"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Acima de R$ 300,01</w:t>
            </w:r>
          </w:p>
        </w:tc>
        <w:tc>
          <w:tcPr>
            <w:tcW w:w="73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24</w:t>
            </w:r>
          </w:p>
        </w:tc>
        <w:tc>
          <w:tcPr>
            <w:tcW w:w="73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44,4%</w:t>
            </w:r>
          </w:p>
        </w:tc>
        <w:tc>
          <w:tcPr>
            <w:tcW w:w="73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11</w:t>
            </w:r>
          </w:p>
        </w:tc>
        <w:tc>
          <w:tcPr>
            <w:tcW w:w="73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52,4%</w:t>
            </w:r>
          </w:p>
        </w:tc>
        <w:tc>
          <w:tcPr>
            <w:tcW w:w="73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21</w:t>
            </w:r>
          </w:p>
        </w:tc>
        <w:tc>
          <w:tcPr>
            <w:tcW w:w="73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17,9%</w:t>
            </w:r>
          </w:p>
        </w:tc>
      </w:tr>
      <w:tr w:rsidR="007B5A84" w:rsidRPr="007B5A84" w:rsidTr="007B5A84">
        <w:trPr>
          <w:trHeight w:val="90"/>
          <w:tblCellSpacing w:w="0" w:type="dxa"/>
        </w:trPr>
        <w:tc>
          <w:tcPr>
            <w:tcW w:w="2970"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Domicílios beneficiados com Bolsa Família</w:t>
            </w:r>
          </w:p>
        </w:tc>
        <w:tc>
          <w:tcPr>
            <w:tcW w:w="73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54</w:t>
            </w:r>
          </w:p>
        </w:tc>
        <w:tc>
          <w:tcPr>
            <w:tcW w:w="73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100,0%</w:t>
            </w:r>
          </w:p>
        </w:tc>
        <w:tc>
          <w:tcPr>
            <w:tcW w:w="73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21</w:t>
            </w:r>
          </w:p>
        </w:tc>
        <w:tc>
          <w:tcPr>
            <w:tcW w:w="73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100,0%</w:t>
            </w:r>
          </w:p>
        </w:tc>
        <w:tc>
          <w:tcPr>
            <w:tcW w:w="73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117</w:t>
            </w:r>
          </w:p>
        </w:tc>
        <w:tc>
          <w:tcPr>
            <w:tcW w:w="73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100,0%</w:t>
            </w:r>
          </w:p>
        </w:tc>
      </w:tr>
    </w:tbl>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i/>
          <w:iCs/>
          <w:color w:val="000000"/>
          <w:sz w:val="16"/>
          <w:szCs w:val="16"/>
          <w:lang w:eastAsia="pt-BR"/>
        </w:rPr>
        <w:t>(2) IBGE</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i/>
          <w:iCs/>
          <w:color w:val="000000"/>
          <w:sz w:val="16"/>
          <w:szCs w:val="16"/>
          <w:lang w:eastAsia="pt-BR"/>
        </w:rPr>
        <w:t>Fonte: Painel Instituto de Pesquisas, 2014/2015/2016</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A Tabela </w:t>
      </w:r>
      <w:proofErr w:type="gramStart"/>
      <w:r w:rsidRPr="007B5A84">
        <w:rPr>
          <w:rFonts w:ascii="Times New Roman" w:eastAsia="Times New Roman" w:hAnsi="Times New Roman" w:cs="Times New Roman"/>
          <w:color w:val="000000"/>
          <w:sz w:val="20"/>
          <w:szCs w:val="20"/>
          <w:lang w:eastAsia="pt-BR"/>
        </w:rPr>
        <w:t>02 mostra</w:t>
      </w:r>
      <w:proofErr w:type="gramEnd"/>
      <w:r w:rsidRPr="007B5A84">
        <w:rPr>
          <w:rFonts w:ascii="Times New Roman" w:eastAsia="Times New Roman" w:hAnsi="Times New Roman" w:cs="Times New Roman"/>
          <w:color w:val="000000"/>
          <w:sz w:val="20"/>
          <w:szCs w:val="20"/>
          <w:lang w:eastAsia="pt-BR"/>
        </w:rPr>
        <w:t xml:space="preserve"> algo ainda mais discrepante, as famílias beneficiadas nos municípios do PR e do RS têm classificações sociais bem superiores das que teoricamente seriam alvo do programa (classe DE). O município de MG, apresentou um grande percentual (65,0%) de famílias beneficiadas na classe social DE, mas mesmo assim houveram ainda discrepâncias.</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Tabela 02: Análise da classe social das famílias beneficiadas pelo</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Bolsa Família entrevistadas na pesquisa amostral</w:t>
      </w:r>
    </w:p>
    <w:tbl>
      <w:tblPr>
        <w:tblW w:w="8445" w:type="dxa"/>
        <w:jc w:val="center"/>
        <w:tblCellSpacing w:w="0" w:type="dxa"/>
        <w:tblCellMar>
          <w:top w:w="75" w:type="dxa"/>
          <w:left w:w="75" w:type="dxa"/>
          <w:bottom w:w="75" w:type="dxa"/>
          <w:right w:w="75" w:type="dxa"/>
        </w:tblCellMar>
        <w:tblLook w:val="04A0" w:firstRow="1" w:lastRow="0" w:firstColumn="1" w:lastColumn="0" w:noHBand="0" w:noVBand="1"/>
      </w:tblPr>
      <w:tblGrid>
        <w:gridCol w:w="1998"/>
        <w:gridCol w:w="717"/>
        <w:gridCol w:w="840"/>
        <w:gridCol w:w="717"/>
        <w:gridCol w:w="840"/>
        <w:gridCol w:w="717"/>
        <w:gridCol w:w="840"/>
        <w:gridCol w:w="1776"/>
      </w:tblGrid>
      <w:tr w:rsidR="007B5A84" w:rsidRPr="007B5A84" w:rsidTr="007B5A84">
        <w:trPr>
          <w:trHeight w:val="60"/>
          <w:tblCellSpacing w:w="0" w:type="dxa"/>
          <w:jc w:val="center"/>
        </w:trPr>
        <w:tc>
          <w:tcPr>
            <w:tcW w:w="1890" w:type="dxa"/>
            <w:tcBorders>
              <w:top w:val="single" w:sz="6" w:space="0" w:color="000000"/>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Estado</w:t>
            </w:r>
          </w:p>
        </w:tc>
        <w:tc>
          <w:tcPr>
            <w:tcW w:w="1380" w:type="dxa"/>
            <w:gridSpan w:val="2"/>
            <w:tcBorders>
              <w:top w:val="single" w:sz="6" w:space="0" w:color="000000"/>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PR</w:t>
            </w:r>
          </w:p>
        </w:tc>
        <w:tc>
          <w:tcPr>
            <w:tcW w:w="1380" w:type="dxa"/>
            <w:gridSpan w:val="2"/>
            <w:tcBorders>
              <w:top w:val="single" w:sz="6" w:space="0" w:color="000000"/>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RS</w:t>
            </w:r>
          </w:p>
        </w:tc>
        <w:tc>
          <w:tcPr>
            <w:tcW w:w="1380" w:type="dxa"/>
            <w:gridSpan w:val="2"/>
            <w:tcBorders>
              <w:top w:val="single" w:sz="6" w:space="0" w:color="000000"/>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MG</w:t>
            </w:r>
          </w:p>
        </w:tc>
        <w:tc>
          <w:tcPr>
            <w:tcW w:w="1680" w:type="dxa"/>
            <w:vMerge w:val="restart"/>
            <w:tcBorders>
              <w:top w:val="single" w:sz="6" w:space="0" w:color="000000"/>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Renda Média Domiciliar</w:t>
            </w:r>
          </w:p>
        </w:tc>
      </w:tr>
      <w:tr w:rsidR="007B5A84" w:rsidRPr="007B5A84" w:rsidTr="007B5A84">
        <w:trPr>
          <w:trHeight w:val="75"/>
          <w:tblCellSpacing w:w="0" w:type="dxa"/>
          <w:jc w:val="center"/>
        </w:trPr>
        <w:tc>
          <w:tcPr>
            <w:tcW w:w="1890" w:type="dxa"/>
            <w:tcBorders>
              <w:top w:val="single" w:sz="6" w:space="0" w:color="000000"/>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Classe Social</w:t>
            </w:r>
          </w:p>
        </w:tc>
        <w:tc>
          <w:tcPr>
            <w:tcW w:w="585" w:type="dxa"/>
            <w:tcBorders>
              <w:top w:val="single" w:sz="6" w:space="0" w:color="000000"/>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Quant.</w:t>
            </w:r>
          </w:p>
        </w:tc>
        <w:tc>
          <w:tcPr>
            <w:tcW w:w="645" w:type="dxa"/>
            <w:tcBorders>
              <w:top w:val="single" w:sz="6" w:space="0" w:color="000000"/>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w:t>
            </w:r>
          </w:p>
        </w:tc>
        <w:tc>
          <w:tcPr>
            <w:tcW w:w="585" w:type="dxa"/>
            <w:tcBorders>
              <w:top w:val="single" w:sz="6" w:space="0" w:color="000000"/>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Quant.</w:t>
            </w:r>
          </w:p>
        </w:tc>
        <w:tc>
          <w:tcPr>
            <w:tcW w:w="645" w:type="dxa"/>
            <w:tcBorders>
              <w:top w:val="single" w:sz="6" w:space="0" w:color="000000"/>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w:t>
            </w:r>
          </w:p>
        </w:tc>
        <w:tc>
          <w:tcPr>
            <w:tcW w:w="585" w:type="dxa"/>
            <w:tcBorders>
              <w:top w:val="single" w:sz="6" w:space="0" w:color="000000"/>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Quant.</w:t>
            </w:r>
          </w:p>
        </w:tc>
        <w:tc>
          <w:tcPr>
            <w:tcW w:w="645" w:type="dxa"/>
            <w:tcBorders>
              <w:top w:val="single" w:sz="6" w:space="0" w:color="000000"/>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w:t>
            </w:r>
          </w:p>
        </w:tc>
        <w:tc>
          <w:tcPr>
            <w:tcW w:w="0" w:type="auto"/>
            <w:vMerge/>
            <w:tcBorders>
              <w:top w:val="single" w:sz="6" w:space="0" w:color="000000"/>
              <w:left w:val="single" w:sz="6" w:space="0" w:color="000000"/>
              <w:bottom w:val="single" w:sz="6" w:space="0" w:color="000000"/>
              <w:right w:val="nil"/>
            </w:tcBorders>
            <w:vAlign w:val="center"/>
            <w:hideMark/>
          </w:tcPr>
          <w:p w:rsidR="007B5A84" w:rsidRPr="007B5A84" w:rsidRDefault="007B5A84" w:rsidP="007B5A84">
            <w:pPr>
              <w:spacing w:after="0" w:line="240" w:lineRule="auto"/>
              <w:rPr>
                <w:rFonts w:ascii="Times New Roman" w:eastAsia="Times New Roman" w:hAnsi="Times New Roman" w:cs="Times New Roman"/>
                <w:color w:val="000000"/>
                <w:sz w:val="20"/>
                <w:szCs w:val="20"/>
                <w:lang w:eastAsia="pt-BR"/>
              </w:rPr>
            </w:pPr>
          </w:p>
        </w:tc>
      </w:tr>
      <w:tr w:rsidR="007B5A84" w:rsidRPr="007B5A84" w:rsidTr="007B5A84">
        <w:trPr>
          <w:trHeight w:val="75"/>
          <w:tblCellSpacing w:w="0" w:type="dxa"/>
          <w:jc w:val="center"/>
        </w:trPr>
        <w:tc>
          <w:tcPr>
            <w:tcW w:w="1890"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B2</w:t>
            </w:r>
          </w:p>
        </w:tc>
        <w:tc>
          <w:tcPr>
            <w:tcW w:w="58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w:t>
            </w:r>
          </w:p>
        </w:tc>
        <w:tc>
          <w:tcPr>
            <w:tcW w:w="64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3,7%</w:t>
            </w:r>
          </w:p>
        </w:tc>
        <w:tc>
          <w:tcPr>
            <w:tcW w:w="58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w:t>
            </w:r>
          </w:p>
        </w:tc>
        <w:tc>
          <w:tcPr>
            <w:tcW w:w="64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w:t>
            </w:r>
          </w:p>
        </w:tc>
        <w:tc>
          <w:tcPr>
            <w:tcW w:w="58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w:t>
            </w:r>
          </w:p>
        </w:tc>
        <w:tc>
          <w:tcPr>
            <w:tcW w:w="64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1,7%</w:t>
            </w:r>
          </w:p>
        </w:tc>
        <w:tc>
          <w:tcPr>
            <w:tcW w:w="1680"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R$ 4.852,00 </w:t>
            </w:r>
          </w:p>
        </w:tc>
      </w:tr>
      <w:tr w:rsidR="007B5A84" w:rsidRPr="007B5A84" w:rsidTr="007B5A84">
        <w:trPr>
          <w:trHeight w:val="75"/>
          <w:tblCellSpacing w:w="0" w:type="dxa"/>
          <w:jc w:val="center"/>
        </w:trPr>
        <w:tc>
          <w:tcPr>
            <w:tcW w:w="1890"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C1</w:t>
            </w:r>
          </w:p>
        </w:tc>
        <w:tc>
          <w:tcPr>
            <w:tcW w:w="58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10</w:t>
            </w:r>
          </w:p>
        </w:tc>
        <w:tc>
          <w:tcPr>
            <w:tcW w:w="64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18,5%</w:t>
            </w:r>
          </w:p>
        </w:tc>
        <w:tc>
          <w:tcPr>
            <w:tcW w:w="58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9</w:t>
            </w:r>
          </w:p>
        </w:tc>
        <w:tc>
          <w:tcPr>
            <w:tcW w:w="64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42,9%</w:t>
            </w:r>
          </w:p>
        </w:tc>
        <w:tc>
          <w:tcPr>
            <w:tcW w:w="58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5</w:t>
            </w:r>
          </w:p>
        </w:tc>
        <w:tc>
          <w:tcPr>
            <w:tcW w:w="64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4,3%</w:t>
            </w:r>
          </w:p>
        </w:tc>
        <w:tc>
          <w:tcPr>
            <w:tcW w:w="1680"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R$ 2.705,00 </w:t>
            </w:r>
          </w:p>
        </w:tc>
      </w:tr>
      <w:tr w:rsidR="007B5A84" w:rsidRPr="007B5A84" w:rsidTr="007B5A84">
        <w:trPr>
          <w:trHeight w:val="75"/>
          <w:tblCellSpacing w:w="0" w:type="dxa"/>
          <w:jc w:val="center"/>
        </w:trPr>
        <w:tc>
          <w:tcPr>
            <w:tcW w:w="1890"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C2</w:t>
            </w:r>
          </w:p>
        </w:tc>
        <w:tc>
          <w:tcPr>
            <w:tcW w:w="58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19</w:t>
            </w:r>
          </w:p>
        </w:tc>
        <w:tc>
          <w:tcPr>
            <w:tcW w:w="64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35,2%</w:t>
            </w:r>
          </w:p>
        </w:tc>
        <w:tc>
          <w:tcPr>
            <w:tcW w:w="58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7</w:t>
            </w:r>
          </w:p>
        </w:tc>
        <w:tc>
          <w:tcPr>
            <w:tcW w:w="64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33,3%</w:t>
            </w:r>
          </w:p>
        </w:tc>
        <w:tc>
          <w:tcPr>
            <w:tcW w:w="58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34</w:t>
            </w:r>
          </w:p>
        </w:tc>
        <w:tc>
          <w:tcPr>
            <w:tcW w:w="64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29,1%</w:t>
            </w:r>
          </w:p>
        </w:tc>
        <w:tc>
          <w:tcPr>
            <w:tcW w:w="1680"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R$ 1.625,00 </w:t>
            </w:r>
          </w:p>
        </w:tc>
      </w:tr>
      <w:tr w:rsidR="007B5A84" w:rsidRPr="007B5A84" w:rsidTr="007B5A84">
        <w:trPr>
          <w:trHeight w:val="75"/>
          <w:tblCellSpacing w:w="0" w:type="dxa"/>
          <w:jc w:val="center"/>
        </w:trPr>
        <w:tc>
          <w:tcPr>
            <w:tcW w:w="1890"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DE</w:t>
            </w:r>
          </w:p>
        </w:tc>
        <w:tc>
          <w:tcPr>
            <w:tcW w:w="58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21</w:t>
            </w:r>
          </w:p>
        </w:tc>
        <w:tc>
          <w:tcPr>
            <w:tcW w:w="64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38,9%</w:t>
            </w:r>
          </w:p>
        </w:tc>
        <w:tc>
          <w:tcPr>
            <w:tcW w:w="58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5</w:t>
            </w:r>
          </w:p>
        </w:tc>
        <w:tc>
          <w:tcPr>
            <w:tcW w:w="64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23,8%</w:t>
            </w:r>
          </w:p>
        </w:tc>
        <w:tc>
          <w:tcPr>
            <w:tcW w:w="585"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76</w:t>
            </w:r>
          </w:p>
        </w:tc>
        <w:tc>
          <w:tcPr>
            <w:tcW w:w="645" w:type="dxa"/>
            <w:tcBorders>
              <w:top w:val="nil"/>
              <w:left w:val="nil"/>
              <w:bottom w:val="nil"/>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65,0%</w:t>
            </w:r>
          </w:p>
        </w:tc>
        <w:tc>
          <w:tcPr>
            <w:tcW w:w="1680" w:type="dxa"/>
            <w:tcBorders>
              <w:top w:val="nil"/>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R$ 768,00 </w:t>
            </w:r>
          </w:p>
        </w:tc>
      </w:tr>
      <w:tr w:rsidR="007B5A84" w:rsidRPr="007B5A84" w:rsidTr="007B5A84">
        <w:trPr>
          <w:trHeight w:val="75"/>
          <w:tblCellSpacing w:w="0" w:type="dxa"/>
          <w:jc w:val="center"/>
        </w:trPr>
        <w:tc>
          <w:tcPr>
            <w:tcW w:w="1890"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Não informado</w:t>
            </w:r>
          </w:p>
        </w:tc>
        <w:tc>
          <w:tcPr>
            <w:tcW w:w="58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w:t>
            </w:r>
          </w:p>
        </w:tc>
        <w:tc>
          <w:tcPr>
            <w:tcW w:w="64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3,7%</w:t>
            </w:r>
          </w:p>
        </w:tc>
        <w:tc>
          <w:tcPr>
            <w:tcW w:w="58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w:t>
            </w:r>
          </w:p>
        </w:tc>
        <w:tc>
          <w:tcPr>
            <w:tcW w:w="64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w:t>
            </w:r>
          </w:p>
        </w:tc>
        <w:tc>
          <w:tcPr>
            <w:tcW w:w="58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w:t>
            </w:r>
          </w:p>
        </w:tc>
        <w:tc>
          <w:tcPr>
            <w:tcW w:w="64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0,0%</w:t>
            </w:r>
          </w:p>
        </w:tc>
        <w:tc>
          <w:tcPr>
            <w:tcW w:w="1680"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w:t>
            </w:r>
          </w:p>
        </w:tc>
      </w:tr>
      <w:tr w:rsidR="007B5A84" w:rsidRPr="007B5A84" w:rsidTr="007B5A84">
        <w:trPr>
          <w:trHeight w:val="60"/>
          <w:tblCellSpacing w:w="0" w:type="dxa"/>
          <w:jc w:val="center"/>
        </w:trPr>
        <w:tc>
          <w:tcPr>
            <w:tcW w:w="1890"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Domicílios beneficiados com Bolsa Família</w:t>
            </w:r>
          </w:p>
        </w:tc>
        <w:tc>
          <w:tcPr>
            <w:tcW w:w="58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54</w:t>
            </w:r>
          </w:p>
        </w:tc>
        <w:tc>
          <w:tcPr>
            <w:tcW w:w="64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100,0%</w:t>
            </w:r>
          </w:p>
        </w:tc>
        <w:tc>
          <w:tcPr>
            <w:tcW w:w="58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21</w:t>
            </w:r>
          </w:p>
        </w:tc>
        <w:tc>
          <w:tcPr>
            <w:tcW w:w="64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100,0%</w:t>
            </w:r>
          </w:p>
        </w:tc>
        <w:tc>
          <w:tcPr>
            <w:tcW w:w="58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117</w:t>
            </w:r>
          </w:p>
        </w:tc>
        <w:tc>
          <w:tcPr>
            <w:tcW w:w="64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100,0%</w:t>
            </w:r>
          </w:p>
        </w:tc>
        <w:tc>
          <w:tcPr>
            <w:tcW w:w="1680"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w:t>
            </w:r>
          </w:p>
        </w:tc>
      </w:tr>
    </w:tbl>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i/>
          <w:iCs/>
          <w:color w:val="000000"/>
          <w:sz w:val="16"/>
          <w:szCs w:val="16"/>
          <w:lang w:eastAsia="pt-BR"/>
        </w:rPr>
        <w:t>Fonte: Painel Instituto de Pesquisas, 2014/2015/2016</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A Tabela 03 mostra que em </w:t>
      </w:r>
      <w:proofErr w:type="gramStart"/>
      <w:r w:rsidRPr="007B5A84">
        <w:rPr>
          <w:rFonts w:ascii="Times New Roman" w:eastAsia="Times New Roman" w:hAnsi="Times New Roman" w:cs="Times New Roman"/>
          <w:color w:val="000000"/>
          <w:sz w:val="20"/>
          <w:szCs w:val="20"/>
          <w:lang w:eastAsia="pt-BR"/>
        </w:rPr>
        <w:t>todos os município</w:t>
      </w:r>
      <w:proofErr w:type="gramEnd"/>
      <w:r w:rsidRPr="007B5A84">
        <w:rPr>
          <w:rFonts w:ascii="Times New Roman" w:eastAsia="Times New Roman" w:hAnsi="Times New Roman" w:cs="Times New Roman"/>
          <w:color w:val="000000"/>
          <w:sz w:val="20"/>
          <w:szCs w:val="20"/>
          <w:lang w:eastAsia="pt-BR"/>
        </w:rPr>
        <w:t xml:space="preserve"> foram encontradas famílias que atendiam os requisitos do programa mas não eram beneficiadas. Cabe lembra que como o programa tem algumas exigências para permanecia, estas podem ser famílias que não atenderam </w:t>
      </w:r>
      <w:proofErr w:type="gramStart"/>
      <w:r w:rsidRPr="007B5A84">
        <w:rPr>
          <w:rFonts w:ascii="Times New Roman" w:eastAsia="Times New Roman" w:hAnsi="Times New Roman" w:cs="Times New Roman"/>
          <w:color w:val="000000"/>
          <w:sz w:val="20"/>
          <w:szCs w:val="20"/>
          <w:lang w:eastAsia="pt-BR"/>
        </w:rPr>
        <w:t>essa exigências</w:t>
      </w:r>
      <w:proofErr w:type="gramEnd"/>
      <w:r w:rsidRPr="007B5A84">
        <w:rPr>
          <w:rFonts w:ascii="Times New Roman" w:eastAsia="Times New Roman" w:hAnsi="Times New Roman" w:cs="Times New Roman"/>
          <w:color w:val="000000"/>
          <w:sz w:val="20"/>
          <w:szCs w:val="20"/>
          <w:lang w:eastAsia="pt-BR"/>
        </w:rPr>
        <w:t xml:space="preserve"> e podem ter sido exclusas do programa.</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Tabela 03: Domicílios que se enquadravam nos requisitos do</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roofErr w:type="gramStart"/>
      <w:r w:rsidRPr="007B5A84">
        <w:rPr>
          <w:rFonts w:ascii="Times New Roman" w:eastAsia="Times New Roman" w:hAnsi="Times New Roman" w:cs="Times New Roman"/>
          <w:b/>
          <w:bCs/>
          <w:color w:val="000000"/>
          <w:sz w:val="20"/>
          <w:szCs w:val="20"/>
          <w:lang w:eastAsia="pt-BR"/>
        </w:rPr>
        <w:t>programa</w:t>
      </w:r>
      <w:proofErr w:type="gramEnd"/>
      <w:r w:rsidRPr="007B5A84">
        <w:rPr>
          <w:rFonts w:ascii="Times New Roman" w:eastAsia="Times New Roman" w:hAnsi="Times New Roman" w:cs="Times New Roman"/>
          <w:b/>
          <w:bCs/>
          <w:color w:val="000000"/>
          <w:sz w:val="20"/>
          <w:szCs w:val="20"/>
          <w:lang w:eastAsia="pt-BR"/>
        </w:rPr>
        <w:t xml:space="preserve"> Bolsa Família porém não são beneficiados</w:t>
      </w:r>
    </w:p>
    <w:tbl>
      <w:tblPr>
        <w:tblW w:w="5505" w:type="dxa"/>
        <w:jc w:val="center"/>
        <w:tblCellSpacing w:w="0" w:type="dxa"/>
        <w:tblCellMar>
          <w:top w:w="75" w:type="dxa"/>
          <w:left w:w="75" w:type="dxa"/>
          <w:bottom w:w="75" w:type="dxa"/>
          <w:right w:w="75" w:type="dxa"/>
        </w:tblCellMar>
        <w:tblLook w:val="04A0" w:firstRow="1" w:lastRow="0" w:firstColumn="1" w:lastColumn="0" w:noHBand="0" w:noVBand="1"/>
      </w:tblPr>
      <w:tblGrid>
        <w:gridCol w:w="1566"/>
        <w:gridCol w:w="722"/>
        <w:gridCol w:w="591"/>
        <w:gridCol w:w="722"/>
        <w:gridCol w:w="591"/>
        <w:gridCol w:w="722"/>
        <w:gridCol w:w="591"/>
      </w:tblGrid>
      <w:tr w:rsidR="007B5A84" w:rsidRPr="007B5A84" w:rsidTr="007B5A84">
        <w:trPr>
          <w:trHeight w:val="60"/>
          <w:tblCellSpacing w:w="0" w:type="dxa"/>
          <w:jc w:val="center"/>
        </w:trPr>
        <w:tc>
          <w:tcPr>
            <w:tcW w:w="1470" w:type="dxa"/>
            <w:tcBorders>
              <w:top w:val="single" w:sz="6" w:space="0" w:color="000000"/>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Estado</w:t>
            </w:r>
          </w:p>
        </w:tc>
        <w:tc>
          <w:tcPr>
            <w:tcW w:w="1140" w:type="dxa"/>
            <w:gridSpan w:val="2"/>
            <w:tcBorders>
              <w:top w:val="single" w:sz="6" w:space="0" w:color="000000"/>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PR</w:t>
            </w:r>
          </w:p>
        </w:tc>
        <w:tc>
          <w:tcPr>
            <w:tcW w:w="1140" w:type="dxa"/>
            <w:gridSpan w:val="2"/>
            <w:tcBorders>
              <w:top w:val="single" w:sz="6" w:space="0" w:color="000000"/>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RS</w:t>
            </w:r>
          </w:p>
        </w:tc>
        <w:tc>
          <w:tcPr>
            <w:tcW w:w="1140" w:type="dxa"/>
            <w:gridSpan w:val="2"/>
            <w:tcBorders>
              <w:top w:val="single" w:sz="6" w:space="0" w:color="000000"/>
              <w:left w:val="single" w:sz="6" w:space="0" w:color="000000"/>
              <w:bottom w:val="nil"/>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MG</w:t>
            </w:r>
          </w:p>
        </w:tc>
      </w:tr>
      <w:tr w:rsidR="007B5A84" w:rsidRPr="007B5A84" w:rsidTr="007B5A84">
        <w:trPr>
          <w:tblCellSpacing w:w="0" w:type="dxa"/>
          <w:jc w:val="center"/>
        </w:trPr>
        <w:tc>
          <w:tcPr>
            <w:tcW w:w="1470" w:type="dxa"/>
            <w:vMerge w:val="restart"/>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Domicílio alvo do programa não beneficiado</w:t>
            </w:r>
          </w:p>
        </w:tc>
        <w:tc>
          <w:tcPr>
            <w:tcW w:w="585" w:type="dxa"/>
            <w:tcBorders>
              <w:top w:val="single" w:sz="6" w:space="0" w:color="000000"/>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Quant.</w:t>
            </w:r>
          </w:p>
        </w:tc>
        <w:tc>
          <w:tcPr>
            <w:tcW w:w="405" w:type="dxa"/>
            <w:tcBorders>
              <w:top w:val="single" w:sz="6" w:space="0" w:color="000000"/>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w:t>
            </w:r>
          </w:p>
        </w:tc>
        <w:tc>
          <w:tcPr>
            <w:tcW w:w="585" w:type="dxa"/>
            <w:tcBorders>
              <w:top w:val="single" w:sz="6" w:space="0" w:color="000000"/>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Quant.</w:t>
            </w:r>
          </w:p>
        </w:tc>
        <w:tc>
          <w:tcPr>
            <w:tcW w:w="405" w:type="dxa"/>
            <w:tcBorders>
              <w:top w:val="single" w:sz="6" w:space="0" w:color="000000"/>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w:t>
            </w:r>
          </w:p>
        </w:tc>
        <w:tc>
          <w:tcPr>
            <w:tcW w:w="585" w:type="dxa"/>
            <w:tcBorders>
              <w:top w:val="single" w:sz="6" w:space="0" w:color="000000"/>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Quant.</w:t>
            </w:r>
          </w:p>
        </w:tc>
        <w:tc>
          <w:tcPr>
            <w:tcW w:w="405" w:type="dxa"/>
            <w:tcBorders>
              <w:top w:val="single" w:sz="6" w:space="0" w:color="000000"/>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b/>
                <w:bCs/>
                <w:color w:val="000000"/>
                <w:sz w:val="20"/>
                <w:szCs w:val="20"/>
                <w:lang w:eastAsia="pt-BR"/>
              </w:rPr>
              <w:t>(%)</w:t>
            </w:r>
          </w:p>
        </w:tc>
      </w:tr>
      <w:tr w:rsidR="007B5A84" w:rsidRPr="007B5A84" w:rsidTr="007B5A84">
        <w:trPr>
          <w:tblCellSpacing w:w="0" w:type="dxa"/>
          <w:jc w:val="center"/>
        </w:trPr>
        <w:tc>
          <w:tcPr>
            <w:tcW w:w="0" w:type="auto"/>
            <w:vMerge/>
            <w:tcBorders>
              <w:top w:val="nil"/>
              <w:left w:val="nil"/>
              <w:bottom w:val="single" w:sz="6" w:space="0" w:color="000000"/>
              <w:right w:val="nil"/>
            </w:tcBorders>
            <w:vAlign w:val="center"/>
            <w:hideMark/>
          </w:tcPr>
          <w:p w:rsidR="007B5A84" w:rsidRPr="007B5A84" w:rsidRDefault="007B5A84" w:rsidP="007B5A84">
            <w:pPr>
              <w:spacing w:after="0" w:line="240" w:lineRule="auto"/>
              <w:rPr>
                <w:rFonts w:ascii="Times New Roman" w:eastAsia="Times New Roman" w:hAnsi="Times New Roman" w:cs="Times New Roman"/>
                <w:color w:val="000000"/>
                <w:sz w:val="20"/>
                <w:szCs w:val="20"/>
                <w:lang w:eastAsia="pt-BR"/>
              </w:rPr>
            </w:pPr>
          </w:p>
        </w:tc>
        <w:tc>
          <w:tcPr>
            <w:tcW w:w="58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3</w:t>
            </w:r>
          </w:p>
        </w:tc>
        <w:tc>
          <w:tcPr>
            <w:tcW w:w="40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0,6%</w:t>
            </w:r>
          </w:p>
        </w:tc>
        <w:tc>
          <w:tcPr>
            <w:tcW w:w="58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w:t>
            </w:r>
          </w:p>
        </w:tc>
        <w:tc>
          <w:tcPr>
            <w:tcW w:w="40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0,3%</w:t>
            </w:r>
          </w:p>
        </w:tc>
        <w:tc>
          <w:tcPr>
            <w:tcW w:w="585"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25</w:t>
            </w:r>
          </w:p>
        </w:tc>
        <w:tc>
          <w:tcPr>
            <w:tcW w:w="405" w:type="dxa"/>
            <w:tcBorders>
              <w:top w:val="nil"/>
              <w:left w:val="nil"/>
              <w:bottom w:val="single" w:sz="6" w:space="0" w:color="000000"/>
              <w:right w:val="nil"/>
            </w:tcBorders>
            <w:tcMar>
              <w:top w:w="0" w:type="dxa"/>
              <w:left w:w="0" w:type="dxa"/>
              <w:bottom w:w="0" w:type="dxa"/>
              <w:right w:w="0" w:type="dxa"/>
            </w:tcMar>
            <w:vAlign w:val="center"/>
            <w:hideMark/>
          </w:tcPr>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1,7%</w:t>
            </w:r>
          </w:p>
        </w:tc>
      </w:tr>
    </w:tbl>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Essas análises e a conversa com a rede de atendimento evidência a dificuldade que os técnicos têm de validar as informações repassadas pela população. E ainda, percebe-se que renda per capita não é o suficiente para enquadrar uma família, principalmente se levarmos em consideração que no Brasil tem um grande percentual da população com trabalho informal.</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Os municípios comentam que investigam denúncias, fazem a atualização de cadastro anual, quando a exigência é bienal, e ainda tomam medidas próprias para reduzir essa discrepância. </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Nos, da Painel Instituto de Pesquisas, sugerimos que o programa não deva se basear apenas em um critério, “renda per capita”, sugerimos que as famílias passem por validação social, utilizando-se de indicadores de vulnerabilidade mais pontuais, e ainda da classificação social por itens e características dos domicílios. Essa abrangência demanda de equipe, que já é existente no município: agentes comunitários. Não só o município deve trabalhar em rede, mas o Governo Federal deve implantar essa terminologia, permitindo que os municípios usufruam mais dos agentes comunitários, que são profundos conhecedores do território que atuam, e possam, não só atender a saúde, mas auxiliar a área social no cadastro da população, </w:t>
      </w:r>
      <w:r w:rsidRPr="007B5A84">
        <w:rPr>
          <w:rFonts w:ascii="Times New Roman" w:eastAsia="Times New Roman" w:hAnsi="Times New Roman" w:cs="Times New Roman"/>
          <w:color w:val="000000"/>
          <w:sz w:val="20"/>
          <w:szCs w:val="20"/>
          <w:lang w:eastAsia="pt-BR"/>
        </w:rPr>
        <w:lastRenderedPageBreak/>
        <w:t xml:space="preserve">trabalhando com busca ativa e fiscalização, tornando toda a rede mais eficiente. Um trabalho coordenador, com um único objetivo, </w:t>
      </w:r>
      <w:proofErr w:type="gramStart"/>
      <w:r w:rsidRPr="007B5A84">
        <w:rPr>
          <w:rFonts w:ascii="Times New Roman" w:eastAsia="Times New Roman" w:hAnsi="Times New Roman" w:cs="Times New Roman"/>
          <w:i/>
          <w:iCs/>
          <w:color w:val="000000"/>
          <w:sz w:val="20"/>
          <w:szCs w:val="20"/>
          <w:lang w:eastAsia="pt-BR"/>
        </w:rPr>
        <w:t>Conhecer</w:t>
      </w:r>
      <w:bookmarkStart w:id="5" w:name="sdfootnote2anc"/>
      <w:proofErr w:type="gramEnd"/>
      <w:r w:rsidRPr="007B5A84">
        <w:rPr>
          <w:rFonts w:ascii="Times New Roman" w:eastAsia="Times New Roman" w:hAnsi="Times New Roman" w:cs="Times New Roman"/>
          <w:i/>
          <w:iCs/>
          <w:color w:val="000000"/>
          <w:sz w:val="20"/>
          <w:szCs w:val="20"/>
          <w:vertAlign w:val="superscript"/>
          <w:lang w:eastAsia="pt-BR"/>
        </w:rPr>
        <w:fldChar w:fldCharType="begin"/>
      </w:r>
      <w:r w:rsidRPr="007B5A84">
        <w:rPr>
          <w:rFonts w:ascii="Times New Roman" w:eastAsia="Times New Roman" w:hAnsi="Times New Roman" w:cs="Times New Roman"/>
          <w:i/>
          <w:iCs/>
          <w:color w:val="000000"/>
          <w:sz w:val="20"/>
          <w:szCs w:val="20"/>
          <w:vertAlign w:val="superscript"/>
          <w:lang w:eastAsia="pt-BR"/>
        </w:rPr>
        <w:instrText xml:space="preserve"> HYPERLINK "" \l "sdfootnote2sym" </w:instrText>
      </w:r>
      <w:r w:rsidRPr="007B5A84">
        <w:rPr>
          <w:rFonts w:ascii="Times New Roman" w:eastAsia="Times New Roman" w:hAnsi="Times New Roman" w:cs="Times New Roman"/>
          <w:i/>
          <w:iCs/>
          <w:color w:val="000000"/>
          <w:sz w:val="20"/>
          <w:szCs w:val="20"/>
          <w:vertAlign w:val="superscript"/>
          <w:lang w:eastAsia="pt-BR"/>
        </w:rPr>
        <w:fldChar w:fldCharType="separate"/>
      </w:r>
      <w:r w:rsidRPr="007B5A84">
        <w:rPr>
          <w:rFonts w:ascii="Times New Roman" w:eastAsia="Times New Roman" w:hAnsi="Times New Roman" w:cs="Times New Roman"/>
          <w:i/>
          <w:iCs/>
          <w:color w:val="0000FF"/>
          <w:sz w:val="11"/>
          <w:szCs w:val="11"/>
          <w:u w:val="single"/>
          <w:vertAlign w:val="superscript"/>
          <w:lang w:eastAsia="pt-BR"/>
        </w:rPr>
        <w:t>2</w:t>
      </w:r>
      <w:r w:rsidRPr="007B5A84">
        <w:rPr>
          <w:rFonts w:ascii="Times New Roman" w:eastAsia="Times New Roman" w:hAnsi="Times New Roman" w:cs="Times New Roman"/>
          <w:i/>
          <w:iCs/>
          <w:color w:val="000000"/>
          <w:sz w:val="20"/>
          <w:szCs w:val="20"/>
          <w:vertAlign w:val="superscript"/>
          <w:lang w:eastAsia="pt-BR"/>
        </w:rPr>
        <w:fldChar w:fldCharType="end"/>
      </w:r>
      <w:bookmarkEnd w:id="5"/>
      <w:r w:rsidRPr="007B5A84">
        <w:rPr>
          <w:rFonts w:ascii="Times New Roman" w:eastAsia="Times New Roman" w:hAnsi="Times New Roman" w:cs="Times New Roman"/>
          <w:color w:val="000000"/>
          <w:sz w:val="20"/>
          <w:szCs w:val="20"/>
          <w:lang w:eastAsia="pt-BR"/>
        </w:rPr>
        <w:t xml:space="preserve"> para cuidar da população mais necessitada do país.</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Estamos </w:t>
      </w:r>
      <w:proofErr w:type="spellStart"/>
      <w:r w:rsidRPr="007B5A84">
        <w:rPr>
          <w:rFonts w:ascii="Times New Roman" w:eastAsia="Times New Roman" w:hAnsi="Times New Roman" w:cs="Times New Roman"/>
          <w:color w:val="000000"/>
          <w:sz w:val="20"/>
          <w:szCs w:val="20"/>
          <w:lang w:eastAsia="pt-BR"/>
        </w:rPr>
        <w:t>a</w:t>
      </w:r>
      <w:proofErr w:type="spellEnd"/>
      <w:r w:rsidRPr="007B5A84">
        <w:rPr>
          <w:rFonts w:ascii="Times New Roman" w:eastAsia="Times New Roman" w:hAnsi="Times New Roman" w:cs="Times New Roman"/>
          <w:color w:val="000000"/>
          <w:sz w:val="20"/>
          <w:szCs w:val="20"/>
          <w:lang w:eastAsia="pt-BR"/>
        </w:rPr>
        <w:t xml:space="preserve"> disposição para maiores detalhamentos e no que for preciso para propor formas de atuação em relação a este assunto e outros em que possamos contribuir.</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Obrigada, </w:t>
      </w:r>
    </w:p>
    <w:p w:rsidR="007B5A84" w:rsidRPr="007B5A84" w:rsidRDefault="007B5A84" w:rsidP="007B5A84">
      <w:pPr>
        <w:spacing w:before="100" w:beforeAutospacing="1" w:after="0" w:line="240" w:lineRule="auto"/>
        <w:jc w:val="both"/>
        <w:rPr>
          <w:rFonts w:ascii="Times New Roman" w:eastAsia="Times New Roman" w:hAnsi="Times New Roman" w:cs="Times New Roman"/>
          <w:color w:val="000000"/>
          <w:sz w:val="20"/>
          <w:szCs w:val="20"/>
          <w:lang w:eastAsia="pt-BR"/>
        </w:rPr>
      </w:pPr>
    </w:p>
    <w:p w:rsidR="007B5A84" w:rsidRPr="007B5A84" w:rsidRDefault="007B5A84" w:rsidP="0048319F">
      <w:pPr>
        <w:spacing w:after="0" w:line="240" w:lineRule="auto"/>
        <w:jc w:val="right"/>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 xml:space="preserve">Fátima </w:t>
      </w:r>
      <w:proofErr w:type="spellStart"/>
      <w:r w:rsidRPr="007B5A84">
        <w:rPr>
          <w:rFonts w:ascii="Times New Roman" w:eastAsia="Times New Roman" w:hAnsi="Times New Roman" w:cs="Times New Roman"/>
          <w:color w:val="000000"/>
          <w:sz w:val="20"/>
          <w:szCs w:val="20"/>
          <w:lang w:eastAsia="pt-BR"/>
        </w:rPr>
        <w:t>Mottin</w:t>
      </w:r>
      <w:proofErr w:type="spellEnd"/>
    </w:p>
    <w:p w:rsidR="007B5A84" w:rsidRPr="007B5A84" w:rsidRDefault="007B5A84" w:rsidP="0048319F">
      <w:pPr>
        <w:spacing w:after="0" w:line="240" w:lineRule="auto"/>
        <w:jc w:val="right"/>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Diretora Técnica</w:t>
      </w:r>
    </w:p>
    <w:p w:rsidR="007B5A84" w:rsidRPr="007B5A84" w:rsidRDefault="007B5A84" w:rsidP="0048319F">
      <w:pPr>
        <w:spacing w:after="0" w:line="240" w:lineRule="auto"/>
        <w:jc w:val="right"/>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PAINEL INSTITUTO DE PESQUISA</w:t>
      </w:r>
    </w:p>
    <w:p w:rsidR="007B5A84" w:rsidRPr="007B5A84" w:rsidRDefault="00742CAC" w:rsidP="0048319F">
      <w:pPr>
        <w:spacing w:after="0" w:line="240" w:lineRule="auto"/>
        <w:jc w:val="right"/>
        <w:rPr>
          <w:rFonts w:ascii="Times New Roman" w:eastAsia="Times New Roman" w:hAnsi="Times New Roman" w:cs="Times New Roman"/>
          <w:color w:val="000000"/>
          <w:sz w:val="20"/>
          <w:szCs w:val="20"/>
          <w:lang w:eastAsia="pt-BR"/>
        </w:rPr>
      </w:pPr>
      <w:hyperlink r:id="rId12" w:history="1">
        <w:r w:rsidR="007B5A84" w:rsidRPr="007B5A84">
          <w:rPr>
            <w:rFonts w:ascii="Times New Roman" w:eastAsia="Times New Roman" w:hAnsi="Times New Roman" w:cs="Times New Roman"/>
            <w:color w:val="0000FF"/>
            <w:sz w:val="20"/>
            <w:szCs w:val="20"/>
            <w:u w:val="single"/>
            <w:lang w:eastAsia="pt-BR"/>
          </w:rPr>
          <w:t>fatima@painelpesquisas.com.br</w:t>
        </w:r>
      </w:hyperlink>
    </w:p>
    <w:p w:rsidR="007B5A84" w:rsidRPr="007B5A84" w:rsidRDefault="007B5A84" w:rsidP="0048319F">
      <w:pPr>
        <w:spacing w:after="0" w:line="240" w:lineRule="auto"/>
        <w:jc w:val="right"/>
        <w:rPr>
          <w:rFonts w:ascii="Times New Roman" w:eastAsia="Times New Roman" w:hAnsi="Times New Roman" w:cs="Times New Roman"/>
          <w:color w:val="000000"/>
          <w:sz w:val="20"/>
          <w:szCs w:val="20"/>
          <w:lang w:eastAsia="pt-BR"/>
        </w:rPr>
      </w:pPr>
      <w:r w:rsidRPr="007B5A84">
        <w:rPr>
          <w:rFonts w:ascii="Times New Roman" w:eastAsia="Times New Roman" w:hAnsi="Times New Roman" w:cs="Times New Roman"/>
          <w:color w:val="000000"/>
          <w:sz w:val="20"/>
          <w:szCs w:val="20"/>
          <w:lang w:eastAsia="pt-BR"/>
        </w:rPr>
        <w:t>(41) 9207-2150</w:t>
      </w:r>
    </w:p>
    <w:p w:rsidR="007B5A84" w:rsidRPr="007B5A84" w:rsidRDefault="007B5A84"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7B5A84" w:rsidRDefault="007B5A84"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48319F" w:rsidRDefault="0048319F"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48319F" w:rsidRDefault="0048319F"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48319F" w:rsidRDefault="0048319F"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48319F" w:rsidRDefault="0048319F"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48319F" w:rsidRDefault="0048319F"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48319F" w:rsidRDefault="0048319F"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48319F" w:rsidRDefault="0048319F"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48319F" w:rsidRDefault="0048319F"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48319F" w:rsidRDefault="0048319F"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48319F" w:rsidRDefault="0048319F" w:rsidP="007B5A84">
      <w:pPr>
        <w:spacing w:before="100" w:beforeAutospacing="1" w:after="0" w:line="360" w:lineRule="auto"/>
        <w:jc w:val="both"/>
        <w:rPr>
          <w:rFonts w:ascii="Times New Roman" w:eastAsia="Times New Roman" w:hAnsi="Times New Roman" w:cs="Times New Roman"/>
          <w:color w:val="000000"/>
          <w:sz w:val="24"/>
          <w:szCs w:val="24"/>
          <w:lang w:eastAsia="pt-BR"/>
        </w:rPr>
      </w:pPr>
    </w:p>
    <w:p w:rsidR="0048319F" w:rsidRPr="007B5A84" w:rsidRDefault="0048319F" w:rsidP="009C2946">
      <w:pPr>
        <w:pStyle w:val="sdfootnote-western"/>
        <w:rPr>
          <w:sz w:val="24"/>
          <w:szCs w:val="24"/>
        </w:rPr>
      </w:pPr>
      <w:r>
        <w:rPr>
          <w:sz w:val="16"/>
          <w:szCs w:val="16"/>
        </w:rPr>
        <w:t>A Painel Instituto de Pesquisas atuou no município de Joinville em um projeto o qual padronizava a atuação dos agentes comunitários com o objetivo de aumentar a produtividade e aproveitar de forma eficiente os dados por eles levantados. Chamou-se o projeto de Conhecer. Entendemos pela experiência em campo que estes agentes são instrumentos fundamentais para a saúde, e também para outras áreas. E estes podem atuar a serviço de toda a rede como um facilitador de coleta de dados para a administração pública.</w:t>
      </w:r>
    </w:p>
    <w:sectPr w:rsidR="0048319F" w:rsidRPr="007B5A84" w:rsidSect="007B5A84">
      <w:headerReference w:type="default" r:id="rId13"/>
      <w:pgSz w:w="11906" w:h="16838"/>
      <w:pgMar w:top="1417" w:right="1701" w:bottom="1417" w:left="1701"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3A6" w:rsidRDefault="009663A6" w:rsidP="007B5A84">
      <w:pPr>
        <w:spacing w:after="0" w:line="240" w:lineRule="auto"/>
      </w:pPr>
      <w:r>
        <w:separator/>
      </w:r>
    </w:p>
  </w:endnote>
  <w:endnote w:type="continuationSeparator" w:id="0">
    <w:p w:rsidR="009663A6" w:rsidRDefault="009663A6" w:rsidP="007B5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altName w:val="Carlito"/>
    <w:panose1 w:val="020F050202020403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3A6" w:rsidRDefault="009663A6" w:rsidP="007B5A84">
      <w:pPr>
        <w:spacing w:after="0" w:line="240" w:lineRule="auto"/>
      </w:pPr>
      <w:r>
        <w:separator/>
      </w:r>
    </w:p>
  </w:footnote>
  <w:footnote w:type="continuationSeparator" w:id="0">
    <w:p w:rsidR="009663A6" w:rsidRDefault="009663A6" w:rsidP="007B5A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319F" w:rsidRPr="0048319F" w:rsidRDefault="0048319F" w:rsidP="0048319F">
    <w:pPr>
      <w:pStyle w:val="NormalWeb"/>
      <w:ind w:left="-1701"/>
      <w:rPr>
        <w:rFonts w:eastAsia="Times New Roman"/>
        <w:color w:val="000000"/>
        <w:bdr w:val="none" w:sz="0" w:space="0" w:color="auto" w:frame="1"/>
        <w:shd w:val="clear" w:color="auto" w:fill="FFFFFF"/>
        <w:lang w:eastAsia="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680624"/>
    <w:multiLevelType w:val="multilevel"/>
    <w:tmpl w:val="9D2C1F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886044"/>
    <w:multiLevelType w:val="multilevel"/>
    <w:tmpl w:val="D51E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BC6AAE"/>
    <w:multiLevelType w:val="multilevel"/>
    <w:tmpl w:val="A802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A84"/>
    <w:rsid w:val="002E0519"/>
    <w:rsid w:val="00330C8A"/>
    <w:rsid w:val="0048319F"/>
    <w:rsid w:val="007B5A84"/>
    <w:rsid w:val="009663A6"/>
    <w:rsid w:val="009C2946"/>
    <w:rsid w:val="00B905FE"/>
    <w:rsid w:val="00F4261E"/>
    <w:rsid w:val="00FB2F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FD6A901-72EC-4E39-B565-B7C3D7404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B5A8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B5A84"/>
  </w:style>
  <w:style w:type="paragraph" w:styleId="Rodap">
    <w:name w:val="footer"/>
    <w:basedOn w:val="Normal"/>
    <w:link w:val="RodapChar"/>
    <w:uiPriority w:val="99"/>
    <w:unhideWhenUsed/>
    <w:rsid w:val="007B5A84"/>
    <w:pPr>
      <w:tabs>
        <w:tab w:val="center" w:pos="4252"/>
        <w:tab w:val="right" w:pos="8504"/>
      </w:tabs>
      <w:spacing w:after="0" w:line="240" w:lineRule="auto"/>
    </w:pPr>
  </w:style>
  <w:style w:type="character" w:customStyle="1" w:styleId="RodapChar">
    <w:name w:val="Rodapé Char"/>
    <w:basedOn w:val="Fontepargpadro"/>
    <w:link w:val="Rodap"/>
    <w:uiPriority w:val="99"/>
    <w:rsid w:val="007B5A84"/>
  </w:style>
  <w:style w:type="paragraph" w:styleId="NormalWeb">
    <w:name w:val="Normal (Web)"/>
    <w:basedOn w:val="Normal"/>
    <w:uiPriority w:val="99"/>
    <w:unhideWhenUsed/>
    <w:rsid w:val="0048319F"/>
    <w:rPr>
      <w:rFonts w:ascii="Times New Roman" w:hAnsi="Times New Roman" w:cs="Times New Roman"/>
      <w:sz w:val="24"/>
      <w:szCs w:val="24"/>
    </w:rPr>
  </w:style>
  <w:style w:type="paragraph" w:customStyle="1" w:styleId="sdfootnote-western">
    <w:name w:val="sdfootnote-western"/>
    <w:basedOn w:val="Normal"/>
    <w:rsid w:val="0048319F"/>
    <w:pPr>
      <w:spacing w:before="100" w:beforeAutospacing="1" w:after="0" w:line="240" w:lineRule="auto"/>
    </w:pPr>
    <w:rPr>
      <w:rFonts w:ascii="Times New Roman" w:eastAsia="Times New Roman" w:hAnsi="Times New Roman" w:cs="Times New Roman"/>
      <w:color w:val="000000"/>
      <w:sz w:val="20"/>
      <w:szCs w:val="20"/>
      <w:lang w:eastAsia="pt-BR"/>
    </w:rPr>
  </w:style>
  <w:style w:type="character" w:styleId="Hyperlink">
    <w:name w:val="Hyperlink"/>
    <w:basedOn w:val="Fontepargpadro"/>
    <w:uiPriority w:val="99"/>
    <w:semiHidden/>
    <w:unhideWhenUsed/>
    <w:rsid w:val="004831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970985">
      <w:bodyDiv w:val="1"/>
      <w:marLeft w:val="0"/>
      <w:marRight w:val="0"/>
      <w:marTop w:val="0"/>
      <w:marBottom w:val="0"/>
      <w:divBdr>
        <w:top w:val="none" w:sz="0" w:space="0" w:color="auto"/>
        <w:left w:val="none" w:sz="0" w:space="0" w:color="auto"/>
        <w:bottom w:val="none" w:sz="0" w:space="0" w:color="auto"/>
        <w:right w:val="none" w:sz="0" w:space="0" w:color="auto"/>
      </w:divBdr>
    </w:div>
    <w:div w:id="797114832">
      <w:bodyDiv w:val="1"/>
      <w:marLeft w:val="0"/>
      <w:marRight w:val="0"/>
      <w:marTop w:val="0"/>
      <w:marBottom w:val="0"/>
      <w:divBdr>
        <w:top w:val="none" w:sz="0" w:space="0" w:color="auto"/>
        <w:left w:val="none" w:sz="0" w:space="0" w:color="auto"/>
        <w:bottom w:val="none" w:sz="0" w:space="0" w:color="auto"/>
        <w:right w:val="none" w:sz="0" w:space="0" w:color="auto"/>
      </w:divBdr>
      <w:divsChild>
        <w:div w:id="798493950">
          <w:marLeft w:val="0"/>
          <w:marRight w:val="0"/>
          <w:marTop w:val="0"/>
          <w:marBottom w:val="0"/>
          <w:divBdr>
            <w:top w:val="none" w:sz="0" w:space="0" w:color="auto"/>
            <w:left w:val="none" w:sz="0" w:space="0" w:color="auto"/>
            <w:bottom w:val="none" w:sz="0" w:space="0" w:color="auto"/>
            <w:right w:val="none" w:sz="0" w:space="0" w:color="auto"/>
          </w:divBdr>
        </w:div>
        <w:div w:id="77792871">
          <w:marLeft w:val="0"/>
          <w:marRight w:val="0"/>
          <w:marTop w:val="0"/>
          <w:marBottom w:val="0"/>
          <w:divBdr>
            <w:top w:val="none" w:sz="0" w:space="0" w:color="auto"/>
            <w:left w:val="none" w:sz="0" w:space="0" w:color="auto"/>
            <w:bottom w:val="none" w:sz="0" w:space="0" w:color="auto"/>
            <w:right w:val="none" w:sz="0" w:space="0" w:color="auto"/>
          </w:divBdr>
        </w:div>
      </w:divsChild>
    </w:div>
    <w:div w:id="873731001">
      <w:bodyDiv w:val="1"/>
      <w:marLeft w:val="0"/>
      <w:marRight w:val="0"/>
      <w:marTop w:val="0"/>
      <w:marBottom w:val="0"/>
      <w:divBdr>
        <w:top w:val="none" w:sz="0" w:space="0" w:color="auto"/>
        <w:left w:val="none" w:sz="0" w:space="0" w:color="auto"/>
        <w:bottom w:val="none" w:sz="0" w:space="0" w:color="auto"/>
        <w:right w:val="none" w:sz="0" w:space="0" w:color="auto"/>
      </w:divBdr>
    </w:div>
    <w:div w:id="944995453">
      <w:bodyDiv w:val="1"/>
      <w:marLeft w:val="0"/>
      <w:marRight w:val="0"/>
      <w:marTop w:val="0"/>
      <w:marBottom w:val="0"/>
      <w:divBdr>
        <w:top w:val="none" w:sz="0" w:space="0" w:color="auto"/>
        <w:left w:val="none" w:sz="0" w:space="0" w:color="auto"/>
        <w:bottom w:val="none" w:sz="0" w:space="0" w:color="auto"/>
        <w:right w:val="none" w:sz="0" w:space="0" w:color="auto"/>
      </w:divBdr>
    </w:div>
    <w:div w:id="179097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atima@painelpesquisas.com.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Sony%20Vaio\Downloads\01_cceb_2016_11_04_16_final%20(1).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7ACD5-9389-489D-AFF6-C6D32AE73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2267</Words>
  <Characters>12248</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 Machado</dc:creator>
  <cp:keywords/>
  <dc:description/>
  <cp:lastModifiedBy>Sandro Machado</cp:lastModifiedBy>
  <cp:revision>2</cp:revision>
  <dcterms:created xsi:type="dcterms:W3CDTF">2016-06-16T15:05:00Z</dcterms:created>
  <dcterms:modified xsi:type="dcterms:W3CDTF">2016-06-16T15:05:00Z</dcterms:modified>
</cp:coreProperties>
</file>